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w:t>
      </w:r>
      <w:r/>
    </w:p>
    <w:p>
      <w:pPr>
        <w:pStyle w:val="843"/>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Werte und Normen </w:t>
      </w:r>
      <w:r>
        <w:rPr>
          <w:sz w:val="23"/>
          <w:szCs w:val="23"/>
        </w:rPr>
        <w:t xml:space="preserve">das fachliche und das sprachliche Lernziel,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Bewerten Sie die Plausibilität von Spaemanns Ansatz</w:t>
      </w:r>
      <w:r>
        <w:rPr>
          <w:b/>
        </w:rPr>
        <w:t xml:space="preserve">.“</w:t>
      </w:r>
      <w:r>
        <w:rPr>
          <w:rStyle w:val="842"/>
          <w:b/>
        </w:rPr>
        <w:footnoteReference w:id="2"/>
      </w:r>
      <w:r>
        <w:rPr>
          <w:b/>
        </w:rPr>
        <w:t xml:space="preserve"> </w:t>
      </w:r>
      <w:r/>
    </w:p>
    <w:p>
      <w:pPr>
        <w:ind w:left="567"/>
        <w:jc w:val="both"/>
        <w:spacing w:after="0" w:line="240" w:lineRule="auto"/>
        <w:shd w:val="clear" w:color="auto" w:fill="d9d9d9" w:themeFill="background1" w:themeFillShade="D9"/>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Fachliches Lernziel: </w:t>
      </w:r>
      <w:r>
        <w:tab/>
      </w:r>
      <w:r>
        <w:rPr>
          <w:rFonts w:ascii="Segoe Print" w:hAnsi="Segoe Print"/>
          <w:sz w:val="20"/>
          <w:u w:val="single"/>
        </w:rPr>
        <w:t xml:space="preserve">Robert Spaemanns Ansatz</w:t>
      </w:r>
      <w:r>
        <w:rPr>
          <w:rFonts w:ascii="Segoe Print" w:hAnsi="Segoe Print"/>
          <w:sz w:val="20"/>
          <w:u w:val="single"/>
        </w:rPr>
        <w:t xml:space="preserve"> zu Moral</w:t>
      </w:r>
      <w:r>
        <w:rPr>
          <w:rFonts w:ascii="Segoe Print" w:hAnsi="Segoe Print"/>
          <w:sz w:val="20"/>
          <w:u w:val="single"/>
        </w:rPr>
        <w:t xml:space="preserve"> u.</w:t>
      </w:r>
      <w:r>
        <w:rPr>
          <w:rFonts w:ascii="Segoe Print" w:hAnsi="Segoe Print"/>
          <w:sz w:val="20"/>
          <w:u w:val="single"/>
        </w:rPr>
        <w:t xml:space="preserve"> </w:t>
      </w:r>
      <w:r>
        <w:rPr>
          <w:rFonts w:ascii="Segoe Print" w:hAnsi="Segoe Print"/>
          <w:sz w:val="20"/>
          <w:u w:val="single"/>
        </w:rPr>
        <w:t xml:space="preserve">vergleichbare Arbeiten</w:t>
      </w:r>
      <w:r>
        <w:rPr>
          <w:rFonts w:ascii="Segoe Print" w:hAnsi="Segoe Print"/>
          <w:sz w:val="20"/>
          <w:u w:val="single"/>
        </w:rPr>
        <w:t xml:space="preserve"> </w:t>
      </w:r>
      <w:r/>
    </w:p>
    <w:p>
      <w:pPr>
        <w:ind w:left="567"/>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Sprachliches Lernziel: </w:t>
      </w:r>
      <w:r>
        <w:tab/>
      </w:r>
      <w:r>
        <w:rPr>
          <w:rFonts w:ascii="Segoe Print" w:hAnsi="Segoe Print"/>
          <w:sz w:val="20"/>
          <w:u w:val="single"/>
        </w:rPr>
        <w:t xml:space="preserve">Operator „</w:t>
      </w:r>
      <w:r>
        <w:rPr>
          <w:rFonts w:ascii="Segoe Print" w:hAnsi="Segoe Print"/>
          <w:sz w:val="20"/>
          <w:u w:val="single"/>
        </w:rPr>
        <w:t xml:space="preserve">bewerten</w:t>
      </w:r>
      <w:r>
        <w:rPr>
          <w:rFonts w:ascii="Segoe Print" w:hAnsi="Segoe Print"/>
          <w:sz w:val="20"/>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sz w:val="23"/>
          <w:szCs w:val="23"/>
        </w:rPr>
        <w:t xml:space="preserve">Vergleichen Sie die Vorstellung von Geist bei Scheler und Plessner</w:t>
      </w:r>
      <w:r>
        <w:rPr>
          <w:b/>
          <w:sz w:val="23"/>
          <w:szCs w:val="23"/>
        </w:rPr>
        <w:t xml:space="preserve">.“</w:t>
      </w:r>
      <w:r>
        <w:rPr>
          <w:rStyle w:val="842"/>
          <w:b/>
          <w:sz w:val="23"/>
          <w:szCs w:val="23"/>
        </w:rPr>
        <w:footnoteReference w:id="3"/>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Sonderstellung des Menschen: Geist</w:t>
      </w:r>
      <w:r>
        <w:rPr>
          <w:rFonts w:ascii="Segoe Print" w:hAnsi="Segoe Print"/>
          <w:sz w:val="19"/>
          <w:szCs w:val="19"/>
          <w:u w:val="single"/>
        </w:rPr>
        <w:t xml:space="preserve"> bei Scheler und Plessner</w:t>
      </w:r>
      <w:r>
        <w:rPr>
          <w:rFonts w:ascii="Segoe Print" w:hAnsi="Segoe Print"/>
          <w:sz w:val="19"/>
          <w:szCs w:val="19"/>
          <w:u w:val="single"/>
        </w:rPr>
        <w:t xml:space="preserve"> </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Operator „</w:t>
      </w:r>
      <w:r>
        <w:rPr>
          <w:rFonts w:ascii="Segoe Print" w:hAnsi="Segoe Print"/>
          <w:sz w:val="19"/>
          <w:szCs w:val="19"/>
          <w:u w:val="single"/>
        </w:rPr>
        <w:t xml:space="preserve">vergleichen</w:t>
      </w:r>
      <w:r>
        <w:rPr>
          <w:rFonts w:ascii="Segoe Print" w:hAnsi="Segoe Print"/>
          <w:sz w:val="19"/>
          <w:szCs w:val="19"/>
          <w:u w:val="single"/>
        </w:rPr>
        <w:t xml:space="preserve">“</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Erklären Sie den Unterschied zwischen „Ursachen“ und „Gründen“.</w:t>
      </w:r>
      <w:r>
        <w:rPr>
          <w:b/>
          <w:sz w:val="23"/>
          <w:szCs w:val="23"/>
        </w:rPr>
        <w:t xml:space="preserve">“</w:t>
      </w:r>
      <w:r>
        <w:rPr>
          <w:rStyle w:val="842"/>
          <w:b/>
          <w:sz w:val="23"/>
          <w:szCs w:val="23"/>
        </w:rPr>
        <w:footnoteReference w:id="4"/>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wissenschaftliche Verfahren: Ursachen </w:t>
      </w:r>
      <w:r>
        <w:rPr>
          <w:rFonts w:ascii="Segoe Print" w:hAnsi="Segoe Print"/>
          <w:sz w:val="19"/>
          <w:szCs w:val="19"/>
          <w:u w:val="single"/>
        </w:rPr>
        <w:t xml:space="preserve">vs, </w:t>
      </w:r>
      <w:r>
        <w:rPr>
          <w:rFonts w:ascii="Segoe Print" w:hAnsi="Segoe Print"/>
          <w:sz w:val="19"/>
          <w:szCs w:val="19"/>
          <w:u w:val="single"/>
        </w:rPr>
        <w:t xml:space="preserve">Gründe</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Operator „</w:t>
      </w:r>
      <w:r>
        <w:rPr>
          <w:rFonts w:ascii="Segoe Print" w:hAnsi="Segoe Print"/>
          <w:sz w:val="19"/>
          <w:szCs w:val="19"/>
          <w:u w:val="single"/>
        </w:rPr>
        <w:t xml:space="preserve">erklären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Erläutern Sie, was Descartes‘ Definition des Menschen als „denkendes Ding“ für die Möglichkeit einer Unterscheidung von künstlicher und „echter“ Intelligenz bedeutet</w:t>
      </w:r>
      <w:r>
        <w:rPr>
          <w:b/>
          <w:sz w:val="23"/>
          <w:szCs w:val="23"/>
        </w:rPr>
        <w:t xml:space="preserve">.“</w:t>
      </w:r>
      <w:r>
        <w:rPr>
          <w:rStyle w:val="842"/>
          <w:b/>
          <w:sz w:val="23"/>
          <w:szCs w:val="23"/>
        </w:rPr>
        <w:footnoteReference w:id="5"/>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Bewusstsein, Gehirn und Seele </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Operator „</w:t>
      </w:r>
      <w:r>
        <w:rPr>
          <w:rFonts w:ascii="Segoe Print" w:hAnsi="Segoe Print"/>
          <w:sz w:val="19"/>
          <w:szCs w:val="19"/>
          <w:u w:val="single"/>
        </w:rPr>
        <w:t xml:space="preserve">erläutern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Nehmen Sie Stellung: Kann man „Moral“ erlernen?</w:t>
      </w:r>
      <w:r>
        <w:rPr>
          <w:b/>
          <w:sz w:val="23"/>
          <w:szCs w:val="23"/>
        </w:rPr>
        <w:t xml:space="preserve">“</w:t>
      </w:r>
      <w:r>
        <w:rPr>
          <w:rStyle w:val="842"/>
          <w:b/>
          <w:sz w:val="23"/>
          <w:szCs w:val="23"/>
        </w:rPr>
        <w:footnoteReference w:id="6"/>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Grundlagen von M</w:t>
      </w:r>
      <w:r>
        <w:rPr>
          <w:rFonts w:ascii="Segoe Print" w:hAnsi="Segoe Print"/>
          <w:sz w:val="19"/>
          <w:szCs w:val="19"/>
          <w:u w:val="single"/>
        </w:rPr>
        <w:t xml:space="preserve">oral</w:t>
      </w:r>
      <w:r>
        <w:rPr>
          <w:rFonts w:ascii="Segoe Print" w:hAnsi="Segoe Print"/>
          <w:sz w:val="19"/>
          <w:szCs w:val="19"/>
          <w:u w:val="single"/>
        </w:rPr>
        <w:t xml:space="preserve"> und Ehtik</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Operator „</w:t>
      </w:r>
      <w:r>
        <w:rPr>
          <w:rFonts w:ascii="Segoe Print" w:hAnsi="Segoe Print"/>
          <w:sz w:val="19"/>
          <w:szCs w:val="19"/>
          <w:u w:val="single"/>
        </w:rPr>
        <w:t xml:space="preserve">Stellung nehmen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Diskutieren Sie im Plenum, wie sich Ihrer Meinung nach das Verhältnis der beiden Geschlechter in unserer Gesellschaft in Zukunft entwickeln wird</w:t>
      </w:r>
      <w:r>
        <w:rPr>
          <w:b/>
          <w:sz w:val="23"/>
          <w:szCs w:val="23"/>
        </w:rPr>
        <w:t xml:space="preserve">.</w:t>
      </w:r>
      <w:r>
        <w:rPr>
          <w:b/>
          <w:sz w:val="23"/>
          <w:szCs w:val="23"/>
        </w:rPr>
        <w:t xml:space="preserve">“</w:t>
      </w:r>
      <w:r>
        <w:rPr>
          <w:rStyle w:val="842"/>
          <w:b/>
          <w:sz w:val="23"/>
          <w:szCs w:val="23"/>
        </w:rPr>
        <w:footnoteReference w:id="7"/>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Selbstinterpretation des Menschen: Geschlechterrollen</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Operator „</w:t>
      </w:r>
      <w:r>
        <w:rPr>
          <w:rFonts w:ascii="Segoe Print" w:hAnsi="Segoe Print"/>
          <w:sz w:val="19"/>
          <w:szCs w:val="19"/>
          <w:u w:val="single"/>
        </w:rPr>
        <w:t xml:space="preserve">diskutieren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Beurteilen Sie die Tragfähigkeit des Stufenmodells von Kohlberg zur Erklärung der Entwicklung des moralischen Bewusstseins.</w:t>
      </w:r>
      <w:r>
        <w:rPr>
          <w:b/>
          <w:sz w:val="23"/>
          <w:szCs w:val="23"/>
        </w:rPr>
        <w:t xml:space="preserve">“</w:t>
      </w:r>
      <w:r>
        <w:rPr>
          <w:rStyle w:val="842"/>
          <w:b/>
          <w:sz w:val="23"/>
          <w:szCs w:val="23"/>
        </w:rPr>
        <w:footnoteReference w:id="8"/>
      </w:r>
      <w:r/>
    </w:p>
    <w:p>
      <w:pPr>
        <w:ind w:left="567"/>
        <w:jc w:val="both"/>
        <w:spacing w:after="0" w:line="340" w:lineRule="exact"/>
        <w:rPr>
          <w:rFonts w:ascii="Segoe Print" w:hAnsi="Segoe Print"/>
          <w:sz w:val="19"/>
          <w:szCs w:val="19"/>
          <w:u w:val="single"/>
        </w:rPr>
      </w:pPr>
      <w:r>
        <w:rPr>
          <w:sz w:val="23"/>
          <w:szCs w:val="23"/>
        </w:rPr>
        <w:t xml:space="preserve">Fachliches Lernziel: </w:t>
      </w:r>
      <w:r>
        <w:rPr>
          <w:sz w:val="23"/>
          <w:szCs w:val="23"/>
        </w:rPr>
        <w:tab/>
      </w:r>
      <w:r>
        <w:rPr>
          <w:rFonts w:ascii="Segoe Print" w:hAnsi="Segoe Print"/>
          <w:sz w:val="19"/>
          <w:szCs w:val="19"/>
          <w:u w:val="single"/>
        </w:rPr>
        <w:t xml:space="preserve">Reflexion über </w:t>
      </w:r>
      <w:r>
        <w:rPr>
          <w:rFonts w:ascii="Segoe Print" w:hAnsi="Segoe Print"/>
          <w:sz w:val="19"/>
          <w:szCs w:val="19"/>
          <w:u w:val="single"/>
        </w:rPr>
        <w:t xml:space="preserve">die </w:t>
      </w:r>
      <w:r>
        <w:rPr>
          <w:rFonts w:ascii="Segoe Print" w:hAnsi="Segoe Print"/>
          <w:sz w:val="19"/>
          <w:szCs w:val="19"/>
          <w:u w:val="single"/>
        </w:rPr>
        <w:t xml:space="preserve">Stufen des Moralbewusstseins</w:t>
      </w:r>
      <w:r>
        <w:rPr>
          <w:rFonts w:ascii="Segoe Print" w:hAnsi="Segoe Print"/>
          <w:sz w:val="19"/>
          <w:szCs w:val="19"/>
          <w:u w:val="single"/>
        </w:rPr>
        <w:t xml:space="preserve"> nach Kohlberg</w:t>
      </w:r>
      <w:r>
        <w:rPr>
          <w:rFonts w:ascii="Segoe Print" w:hAnsi="Segoe Print"/>
          <w:sz w:val="19"/>
          <w:szCs w:val="19"/>
          <w:u w:val="single"/>
        </w:rPr>
        <w:t xml:space="preserve"> </w:t>
      </w:r>
      <w:r/>
    </w:p>
    <w:p>
      <w:pPr>
        <w:ind w:left="567"/>
        <w:jc w:val="both"/>
        <w:spacing w:after="0" w:line="340" w:lineRule="exact"/>
        <w:rPr>
          <w:rFonts w:cs="Open Sans"/>
        </w:rPr>
      </w:pPr>
      <w:r>
        <w:rPr>
          <w:sz w:val="23"/>
          <w:szCs w:val="23"/>
        </w:rPr>
        <w:t xml:space="preserve">Sprachliches Lernziel: </w:t>
      </w:r>
      <w:r>
        <w:rPr>
          <w:sz w:val="23"/>
          <w:szCs w:val="23"/>
        </w:rPr>
        <w:tab/>
      </w:r>
      <w:r>
        <w:rPr>
          <w:rFonts w:ascii="Segoe Print" w:hAnsi="Segoe Print"/>
          <w:sz w:val="19"/>
          <w:szCs w:val="19"/>
          <w:u w:val="single"/>
        </w:rPr>
        <w:t xml:space="preserve">Operator „</w:t>
      </w:r>
      <w:r>
        <w:rPr>
          <w:rFonts w:ascii="Segoe Print" w:hAnsi="Segoe Print"/>
          <w:sz w:val="19"/>
          <w:szCs w:val="19"/>
          <w:u w:val="single"/>
        </w:rPr>
        <w:t xml:space="preserve">beurteilen</w:t>
      </w:r>
      <w:r>
        <w:rPr>
          <w:rFonts w:ascii="Segoe Print" w:hAnsi="Segoe Print"/>
          <w:sz w:val="19"/>
          <w:szCs w:val="19"/>
          <w:u w:val="single"/>
        </w:rPr>
        <w:t xml:space="preserve">“</w:t>
      </w: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43"/>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 einem Auszug aus dem </w:t>
      </w:r>
      <w:r>
        <w:t xml:space="preserve">Niedersächsischen</w:t>
      </w:r>
      <w:r>
        <w:t xml:space="preserve"> Kerncurriculum für</w:t>
      </w:r>
      <w:r>
        <w:t xml:space="preserve"> Werte und Normen</w:t>
      </w:r>
      <w:r>
        <w:t xml:space="preserve"> (Sekundarstufe II)</w:t>
      </w:r>
      <w:r>
        <w:t xml:space="preserve">, orientieren:</w:t>
      </w:r>
      <w:r/>
    </w:p>
    <w:tbl>
      <w:tblPr>
        <w:tblStyle w:val="844"/>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 der erwarteten Leistung</w:t>
            </w:r>
            <w:r/>
          </w:p>
        </w:tc>
      </w:tr>
      <w:tr>
        <w:trPr/>
        <w:tc>
          <w:tcPr>
            <w:tcW w:w="1843" w:type="dxa"/>
            <w:textDirection w:val="lrTb"/>
            <w:noWrap w:val="false"/>
          </w:tcPr>
          <w:p>
            <w:pPr>
              <w:jc w:val="both"/>
              <w:spacing w:after="0" w:line="240" w:lineRule="auto"/>
              <w:rPr>
                <w:rFonts w:ascii="Calibri" w:hAnsi="Calibri"/>
              </w:rPr>
            </w:pPr>
            <w:r>
              <w:rPr>
                <w:rFonts w:ascii="Calibri" w:hAnsi="Calibri"/>
                <w:sz w:val="21"/>
                <w:szCs w:val="21"/>
              </w:rPr>
              <w:t xml:space="preserve">sich auseinandersetzen/beurteilen</w:t>
            </w:r>
            <w:r/>
          </w:p>
        </w:tc>
        <w:tc>
          <w:tcPr>
            <w:tcW w:w="6939" w:type="dxa"/>
            <w:textDirection w:val="lrTb"/>
            <w:noWrap w:val="false"/>
          </w:tcPr>
          <w:p>
            <w:pPr>
              <w:jc w:val="both"/>
              <w:spacing w:after="0" w:line="240" w:lineRule="auto"/>
              <w:rPr>
                <w:rFonts w:ascii="Calibri" w:hAnsi="Calibri"/>
              </w:rPr>
            </w:pPr>
            <w:r>
              <w:rPr>
                <w:rFonts w:ascii="Calibri" w:hAnsi="Calibri" w:cs="Arial" w:eastAsia="Times New Roman"/>
                <w:sz w:val="21"/>
                <w:szCs w:val="21"/>
                <w:lang w:eastAsia="de-DE"/>
              </w:rPr>
              <w:t xml:space="preserve">zu einem Sachverhalt ein selbstständiges Urteil unter Verwendung von Fachwissen und Fachmethoden begründet formulieren</w:t>
            </w:r>
            <w:r/>
          </w:p>
        </w:tc>
      </w:tr>
      <w:tr>
        <w:trPr/>
        <w:tc>
          <w:tcPr>
            <w:tcW w:w="1843" w:type="dxa"/>
            <w:textDirection w:val="lrTb"/>
            <w:noWrap w:val="false"/>
          </w:tcPr>
          <w:p>
            <w:pPr>
              <w:jc w:val="both"/>
              <w:spacing w:after="0" w:line="240" w:lineRule="auto"/>
              <w:rPr>
                <w:rFonts w:ascii="Calibri" w:hAnsi="Calibri"/>
              </w:rPr>
            </w:pPr>
            <w:r>
              <w:rPr>
                <w:rFonts w:ascii="Calibri" w:hAnsi="Calibri"/>
                <w:sz w:val="21"/>
                <w:szCs w:val="21"/>
              </w:rPr>
              <w:t xml:space="preserve">erklären </w:t>
            </w:r>
            <w:r/>
          </w:p>
        </w:tc>
        <w:tc>
          <w:tcPr>
            <w:tcW w:w="6939" w:type="dxa"/>
            <w:textDirection w:val="lrTb"/>
            <w:noWrap w:val="false"/>
          </w:tcPr>
          <w:p>
            <w:pPr>
              <w:jc w:val="both"/>
              <w:spacing w:after="0" w:line="240" w:lineRule="auto"/>
              <w:rPr>
                <w:rFonts w:ascii="Calibri" w:hAnsi="Calibri" w:cs="Helvetica"/>
              </w:rPr>
            </w:pPr>
            <w:r>
              <w:rPr>
                <w:rFonts w:ascii="Calibri" w:hAnsi="Calibri" w:cs="Arial" w:eastAsia="Times New Roman"/>
                <w:sz w:val="21"/>
                <w:szCs w:val="21"/>
                <w:lang w:eastAsia="de-DE"/>
              </w:rPr>
              <w:t xml:space="preserve">einen Sachverhalt nachvollziehbar und verständlich machen</w:t>
            </w:r>
            <w:r/>
          </w:p>
        </w:tc>
      </w:tr>
      <w:tr>
        <w:trPr/>
        <w:tc>
          <w:tcPr>
            <w:tcW w:w="1843" w:type="dxa"/>
            <w:textDirection w:val="lrTb"/>
            <w:noWrap w:val="false"/>
          </w:tcPr>
          <w:p>
            <w:pPr>
              <w:jc w:val="both"/>
              <w:spacing w:after="0" w:line="240" w:lineRule="auto"/>
              <w:rPr>
                <w:rFonts w:ascii="Calibri" w:hAnsi="Calibri"/>
              </w:rPr>
            </w:pPr>
            <w:r>
              <w:rPr>
                <w:rFonts w:ascii="Calibri" w:hAnsi="Calibri"/>
                <w:sz w:val="21"/>
                <w:szCs w:val="21"/>
              </w:rPr>
              <w:t xml:space="preserve">erläutern</w:t>
            </w:r>
            <w:r/>
          </w:p>
        </w:tc>
        <w:tc>
          <w:tcPr>
            <w:tcW w:w="6939" w:type="dxa"/>
            <w:textDirection w:val="lrTb"/>
            <w:noWrap w:val="false"/>
          </w:tcPr>
          <w:p>
            <w:pPr>
              <w:spacing w:after="0" w:line="240" w:lineRule="auto"/>
              <w:rPr>
                <w:rFonts w:ascii="Calibri" w:hAnsi="Calibri"/>
              </w:rPr>
            </w:pPr>
            <w:r>
              <w:rPr>
                <w:rFonts w:ascii="Calibri" w:hAnsi="Calibri" w:cs="Arial" w:eastAsia="Times New Roman"/>
                <w:sz w:val="21"/>
                <w:szCs w:val="21"/>
                <w:lang w:eastAsia="de-DE"/>
              </w:rPr>
              <w:t xml:space="preserve">einen Sachverhalt veranschaulichend darstellen und durch zusätzliche Informationen verständlich machen </w:t>
            </w:r>
            <w:r/>
          </w:p>
        </w:tc>
      </w:tr>
      <w:tr>
        <w:trPr/>
        <w:tc>
          <w:tcPr>
            <w:tcW w:w="1843" w:type="dxa"/>
            <w:textDirection w:val="lrTb"/>
            <w:noWrap w:val="false"/>
          </w:tcPr>
          <w:p>
            <w:pPr>
              <w:jc w:val="both"/>
              <w:spacing w:after="0" w:line="240" w:lineRule="auto"/>
              <w:rPr>
                <w:rFonts w:ascii="Calibri" w:hAnsi="Calibri"/>
              </w:rPr>
            </w:pPr>
            <w:r>
              <w:rPr>
                <w:rFonts w:ascii="Calibri" w:hAnsi="Calibri"/>
                <w:sz w:val="21"/>
                <w:szCs w:val="21"/>
              </w:rPr>
              <w:t xml:space="preserve">erörtern/</w:t>
            </w:r>
            <w:r>
              <w:rPr>
                <w:rFonts w:ascii="Calibri" w:hAnsi="Calibri"/>
                <w:sz w:val="21"/>
                <w:szCs w:val="21"/>
              </w:rPr>
              <w:br/>
              <w:t xml:space="preserve">diskutieren</w:t>
            </w:r>
            <w:r/>
          </w:p>
        </w:tc>
        <w:tc>
          <w:tcPr>
            <w:tcW w:w="6939" w:type="dxa"/>
            <w:textDirection w:val="lrTb"/>
            <w:noWrap w:val="false"/>
          </w:tcPr>
          <w:p>
            <w:pPr>
              <w:spacing w:after="0" w:line="240" w:lineRule="auto"/>
              <w:rPr>
                <w:rFonts w:ascii="Calibri" w:hAnsi="Calibri"/>
              </w:rPr>
            </w:pPr>
            <w:r>
              <w:rPr>
                <w:rFonts w:ascii="Calibri" w:hAnsi="Calibri" w:cs="Arial" w:eastAsia="Times New Roman"/>
                <w:sz w:val="21"/>
                <w:szCs w:val="21"/>
                <w:lang w:eastAsia="de-DE"/>
              </w:rPr>
              <w:t xml:space="preserve">eine These oder Problemstellung in Form einer Gegenüberstellung von Argumenten untersuchen und mit einer begründeten Stellungnahme bewerten</w:t>
            </w:r>
            <w:r/>
          </w:p>
        </w:tc>
      </w:tr>
      <w:tr>
        <w:trPr/>
        <w:tc>
          <w:tcPr>
            <w:tcW w:w="1843" w:type="dxa"/>
            <w:textDirection w:val="lrTb"/>
            <w:noWrap w:val="false"/>
          </w:tcPr>
          <w:p>
            <w:pPr>
              <w:jc w:val="both"/>
              <w:spacing w:after="0" w:line="240" w:lineRule="auto"/>
              <w:rPr>
                <w:rFonts w:ascii="Calibri" w:hAnsi="Calibri"/>
              </w:rPr>
            </w:pPr>
            <w:r>
              <w:rPr>
                <w:rFonts w:ascii="Calibri" w:hAnsi="Calibri"/>
                <w:sz w:val="21"/>
                <w:szCs w:val="21"/>
              </w:rPr>
              <w:t xml:space="preserve">Stellung nehmen</w:t>
            </w:r>
            <w:r/>
          </w:p>
        </w:tc>
        <w:tc>
          <w:tcPr>
            <w:tcW w:w="6939" w:type="dxa"/>
            <w:textDirection w:val="lrTb"/>
            <w:noWrap w:val="false"/>
          </w:tcPr>
          <w:p>
            <w:pPr>
              <w:spacing w:after="0" w:line="240" w:lineRule="auto"/>
              <w:rPr>
                <w:rFonts w:ascii="Calibri" w:hAnsi="Calibri"/>
              </w:rPr>
            </w:pPr>
            <w:r>
              <w:rPr>
                <w:rFonts w:ascii="Calibri" w:hAnsi="Calibri" w:cs="Arial" w:eastAsia="Times New Roman"/>
                <w:sz w:val="21"/>
                <w:szCs w:val="21"/>
                <w:lang w:eastAsia="de-DE"/>
              </w:rPr>
              <w:t xml:space="preserve">zu einem Sachverhalt ein selbstständiges Werturteil unter Verwendung von Fachwissen und durch Offenlegung von Wertmaßstäben begründet formulieren </w:t>
            </w:r>
            <w:r/>
          </w:p>
        </w:tc>
      </w:tr>
      <w:tr>
        <w:trPr>
          <w:trHeight w:val="235"/>
        </w:trPr>
        <w:tc>
          <w:tcPr>
            <w:tcW w:w="1843" w:type="dxa"/>
            <w:textDirection w:val="lrTb"/>
            <w:noWrap w:val="false"/>
          </w:tcPr>
          <w:p>
            <w:pPr>
              <w:jc w:val="both"/>
              <w:spacing w:after="0" w:line="240" w:lineRule="auto"/>
              <w:rPr>
                <w:rFonts w:ascii="Calibri" w:hAnsi="Calibri"/>
              </w:rPr>
            </w:pPr>
            <w:r>
              <w:rPr>
                <w:rFonts w:ascii="Calibri" w:hAnsi="Calibri"/>
                <w:sz w:val="21"/>
                <w:szCs w:val="21"/>
              </w:rPr>
              <w:t xml:space="preserve">vergleichen/</w:t>
            </w:r>
            <w:r>
              <w:rPr>
                <w:rFonts w:ascii="Calibri" w:hAnsi="Calibri"/>
                <w:sz w:val="21"/>
                <w:szCs w:val="21"/>
              </w:rPr>
              <w:br/>
              <w:t xml:space="preserve">gegenüberstellen</w:t>
            </w:r>
            <w:r/>
          </w:p>
        </w:tc>
        <w:tc>
          <w:tcPr>
            <w:tcW w:w="6939" w:type="dxa"/>
            <w:textDirection w:val="lrTb"/>
            <w:noWrap w:val="false"/>
          </w:tcPr>
          <w:p>
            <w:pPr>
              <w:spacing w:after="0" w:line="240" w:lineRule="auto"/>
              <w:rPr>
                <w:rFonts w:ascii="Calibri" w:hAnsi="Calibri"/>
              </w:rPr>
            </w:pPr>
            <w:r>
              <w:rPr>
                <w:rFonts w:ascii="Calibri" w:hAnsi="Calibri" w:cs="Arial" w:eastAsia="Times New Roman"/>
                <w:sz w:val="21"/>
                <w:szCs w:val="21"/>
                <w:lang w:eastAsia="de-DE"/>
              </w:rPr>
              <w:t xml:space="preserve">Gemeinsamkeiten, Ähnlichkeiten und Unterschiede ermitteln</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(2018</w:t>
      </w:r>
      <w:r>
        <w:rPr>
          <w:sz w:val="18"/>
          <w:szCs w:val="18"/>
        </w:rPr>
        <w:t xml:space="preserve">). Kerncurriculum für das </w:t>
      </w:r>
      <w:r>
        <w:rPr>
          <w:sz w:val="18"/>
          <w:szCs w:val="18"/>
        </w:rPr>
        <w:t xml:space="preserve">Gymnasium – gymnasiale Oberstufe.</w:t>
      </w:r>
      <w:r>
        <w:rPr>
          <w:sz w:val="18"/>
          <w:szCs w:val="18"/>
        </w:rPr>
        <w:t xml:space="preserve"> </w:t>
      </w:r>
      <w:r>
        <w:rPr>
          <w:sz w:val="18"/>
          <w:szCs w:val="18"/>
        </w:rPr>
        <w:t xml:space="preserve">Werte und Normen. S. 48-49</w:t>
      </w:r>
      <w:r>
        <w:rPr>
          <w:sz w:val="18"/>
          <w:szCs w:val="18"/>
        </w:rPr>
        <w:t xml:space="preserve">. </w:t>
      </w:r>
      <w:r>
        <w:rPr>
          <w:sz w:val="18"/>
          <w:szCs w:val="18"/>
        </w:rPr>
      </w:r>
      <w:r>
        <w:rPr>
          <w:sz w:val="18"/>
          <w:szCs w:val="18"/>
        </w:rPr>
        <w:t xml:space="preserve">Zugriff am 26.02.2022 </w:t>
      </w:r>
      <w:r>
        <w:rPr>
          <w:sz w:val="18"/>
          <w:szCs w:val="18"/>
        </w:rPr>
        <w:t xml:space="preserve">https://cuvo.nibis.de/cuvo.php?p=download&amp;upload=205</w:t>
      </w:r>
      <w:r/>
      <w:r>
        <w:rPr>
          <w:sz w:val="18"/>
          <w:szCs w:val="18"/>
        </w:rPr>
      </w:r>
      <w:r/>
    </w:p>
    <w:p>
      <w:pPr>
        <w:pStyle w:val="843"/>
        <w:contextualSpacing w:val="0"/>
        <w:ind w:left="567"/>
        <w:jc w:val="both"/>
        <w:spacing w:before="120" w:after="0" w:line="240" w:lineRule="auto"/>
        <w:rPr>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mit den genannten Operatoren eingesetzt werden können. </w:t>
      </w:r>
      <w:r/>
    </w:p>
    <w:p>
      <w:pPr>
        <w:pStyle w:val="84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beurteilen</w:t>
      </w:r>
      <w:r>
        <w:rPr>
          <w:b/>
          <w:sz w:val="23"/>
          <w:szCs w:val="23"/>
        </w:rPr>
        <w:t xml:space="preserve">:</w:t>
      </w:r>
      <w:r/>
    </w:p>
    <w:p>
      <w:pPr>
        <w:pStyle w:val="843"/>
        <w:numPr>
          <w:ilvl w:val="0"/>
          <w:numId w:val="4"/>
        </w:numPr>
        <w:contextualSpacing w:val="0"/>
        <w:jc w:val="both"/>
        <w:spacing w:before="120" w:after="0" w:line="240" w:lineRule="auto"/>
        <w:rPr>
          <w:sz w:val="19"/>
          <w:szCs w:val="19"/>
        </w:rPr>
      </w:pPr>
      <w:r>
        <w:rPr>
          <w:rFonts w:ascii="Segoe Print" w:hAnsi="Segoe Print"/>
          <w:sz w:val="19"/>
          <w:szCs w:val="19"/>
        </w:rPr>
        <w:t xml:space="preserve">Auf Grundlage dieser Fakten lässt sich folgern, dass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Hieraus lässt sich schließen, dass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Dies deutet darauf hin, dass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somit/also/deshalb/darum/folglich</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im Gegensatz zu</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während</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dennoch</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obwohl/obgleich/auch wenn</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In Anbetracht der Tatsache, dass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Angesichts der Tatsache, dass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Vor diesem Hintergrund ist festzustellen, dass …</w:t>
      </w:r>
      <w:r/>
    </w:p>
    <w:p>
      <w:pPr>
        <w:spacing w:after="0" w:line="240" w:lineRule="auto"/>
        <w:rPr>
          <w:b/>
          <w:sz w:val="23"/>
          <w:szCs w:val="23"/>
        </w:rPr>
      </w:pPr>
      <w:r>
        <w:rPr>
          <w:b/>
          <w:sz w:val="23"/>
          <w:szCs w:val="23"/>
        </w:rPr>
        <w:br w:type="page"/>
      </w:r>
      <w:r/>
    </w:p>
    <w:p>
      <w:pPr>
        <w:pStyle w:val="843"/>
        <w:contextualSpacing w:val="0"/>
        <w:ind w:left="567"/>
        <w:jc w:val="both"/>
        <w:spacing w:before="120" w:after="0" w:line="240" w:lineRule="auto"/>
        <w:rPr>
          <w:b/>
          <w:sz w:val="23"/>
          <w:szCs w:val="23"/>
        </w:rPr>
      </w:pPr>
      <w:r>
        <w:rPr>
          <w:b/>
          <w:sz w:val="23"/>
          <w:szCs w:val="23"/>
        </w:rPr>
        <w:t xml:space="preserve">Sprachliche Mittel für den Operator </w:t>
      </w:r>
      <w:r>
        <w:rPr>
          <w:b/>
          <w:i/>
          <w:sz w:val="23"/>
          <w:szCs w:val="23"/>
        </w:rPr>
        <w:t xml:space="preserve">erklären</w:t>
      </w:r>
      <w:r>
        <w:rPr>
          <w:b/>
          <w:sz w:val="23"/>
          <w:szCs w:val="23"/>
        </w:rPr>
        <w:t xml:space="preserve">:</w:t>
      </w:r>
      <w:r>
        <w:rPr>
          <w:b/>
          <w:i/>
          <w:sz w:val="23"/>
          <w:szCs w:val="23"/>
        </w:rPr>
        <w:t xml:space="preserve"> </w:t>
      </w:r>
      <w:r/>
    </w:p>
    <w:p>
      <w:pPr>
        <w:pStyle w:val="843"/>
        <w:numPr>
          <w:ilvl w:val="0"/>
          <w:numId w:val="4"/>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daher/deshalb/darum</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 bedeutet, dass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zunächst …, dann/anschließend/daraufhin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In der Folge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Als Konsequenz aus …</w:t>
      </w:r>
      <w:r/>
    </w:p>
    <w:p>
      <w:pPr>
        <w:pStyle w:val="843"/>
        <w:contextualSpacing w:val="0"/>
        <w:ind w:left="567"/>
        <w:jc w:val="both"/>
        <w:spacing w:before="120" w:after="0" w:line="240" w:lineRule="auto"/>
        <w:rPr>
          <w:b/>
          <w:sz w:val="23"/>
          <w:szCs w:val="23"/>
        </w:rPr>
      </w:pPr>
      <w:r>
        <w:rPr>
          <w:b/>
          <w:sz w:val="23"/>
          <w:szCs w:val="23"/>
        </w:rPr>
        <w:t xml:space="preserve">Sprachliche Mittel für den Operator </w:t>
      </w:r>
      <w:r>
        <w:rPr>
          <w:b/>
          <w:i/>
          <w:sz w:val="23"/>
          <w:szCs w:val="23"/>
        </w:rPr>
        <w:t xml:space="preserve">erläutern</w:t>
      </w:r>
      <w:r>
        <w:rPr>
          <w:b/>
          <w:sz w:val="23"/>
          <w:szCs w:val="23"/>
        </w:rPr>
        <w:t xml:space="preserve">:</w:t>
      </w:r>
      <w:r/>
    </w:p>
    <w:p>
      <w:pPr>
        <w:pStyle w:val="843"/>
        <w:numPr>
          <w:ilvl w:val="0"/>
          <w:numId w:val="4"/>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daher/deshalb/darum</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XY ist ein Beispiel für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Ein Beispiel für XY stellt … dar.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beispielsweise</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 illustriert zum Beispiel/etwa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 verdeutlicht unter anderem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Dieses Beispiel illustriert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Hieraus ergibt sich …</w:t>
      </w:r>
      <w:r/>
    </w:p>
    <w:p>
      <w:pPr>
        <w:pStyle w:val="84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diskutieren</w:t>
      </w:r>
      <w:r>
        <w:rPr>
          <w:b/>
          <w:sz w:val="23"/>
          <w:szCs w:val="23"/>
        </w:rPr>
        <w:t xml:space="preserve">:</w:t>
      </w:r>
      <w:r/>
    </w:p>
    <w:p>
      <w:pPr>
        <w:pStyle w:val="843"/>
        <w:numPr>
          <w:ilvl w:val="0"/>
          <w:numId w:val="4"/>
        </w:numPr>
        <w:contextualSpacing w:val="0"/>
        <w:ind w:left="1281" w:hanging="357"/>
        <w:jc w:val="both"/>
        <w:spacing w:before="120" w:after="0" w:line="240" w:lineRule="auto"/>
        <w:rPr>
          <w:rFonts w:ascii="Segoe Print" w:hAnsi="Segoe Print"/>
          <w:sz w:val="19"/>
          <w:szCs w:val="19"/>
        </w:rPr>
      </w:pPr>
      <w:r>
        <w:rPr>
          <w:rFonts w:ascii="Segoe Print" w:hAnsi="Segoe Print"/>
          <w:sz w:val="19"/>
          <w:szCs w:val="19"/>
        </w:rPr>
        <w:t xml:space="preserve">Einerseits …, andererseits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zum einen …, zum anderen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Dafür/dagegen spricht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Ein Argument für/gegen … ist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Während X … ist, ist Y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Im Gegensatz dazu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Anders als …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obwohl/obgleich/auch wenn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da/weil</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daher/deshalb/darum</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Alles in allem bin ich der Ansicht, dass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Nach Abwägung sämtlicher Argumente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Meiner Meinung/Ansicht nach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Ich stimme … zu/nicht zu.</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Ich halte … für (weniger) relevant/wichtig/entscheidend/zentral.</w:t>
      </w:r>
      <w:r/>
    </w:p>
    <w:p>
      <w:pPr>
        <w:pStyle w:val="84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Stellung nehmen</w:t>
      </w:r>
      <w:r>
        <w:rPr>
          <w:b/>
          <w:sz w:val="23"/>
          <w:szCs w:val="23"/>
        </w:rPr>
        <w:t xml:space="preserve">:</w:t>
      </w:r>
      <w:r/>
    </w:p>
    <w:p>
      <w:pPr>
        <w:pStyle w:val="843"/>
        <w:numPr>
          <w:ilvl w:val="0"/>
          <w:numId w:val="4"/>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Meiner Meinung nach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Daher bin ich der Ansicht, dass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Alles in allem bin ich der Ansicht, dass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Auf Basis der/des … komme ich daher zu dem Schluss, dass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im Hinblick auf </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daher/deshalb/darum</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aufgrund/infolge</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obwohl</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trotz</w:t>
      </w:r>
      <w:r/>
    </w:p>
    <w:p>
      <w:pPr>
        <w:pStyle w:val="84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dennoch</w:t>
      </w:r>
      <w:r/>
    </w:p>
    <w:p>
      <w:pPr>
        <w:pStyle w:val="843"/>
        <w:contextualSpacing w:val="0"/>
        <w:ind w:left="567"/>
        <w:jc w:val="both"/>
        <w:spacing w:before="120" w:after="0" w:line="240" w:lineRule="auto"/>
        <w:rPr>
          <w:b/>
          <w:sz w:val="23"/>
          <w:szCs w:val="23"/>
        </w:rPr>
      </w:pPr>
      <w:r>
        <w:rPr>
          <w:b/>
          <w:sz w:val="23"/>
          <w:szCs w:val="23"/>
        </w:rPr>
        <w:t xml:space="preserve">Sprachliche Mittel für den Operator </w:t>
      </w:r>
      <w:r>
        <w:rPr>
          <w:b/>
          <w:i/>
          <w:sz w:val="23"/>
          <w:szCs w:val="23"/>
        </w:rPr>
        <w:t xml:space="preserve">vergleichen</w:t>
      </w:r>
      <w:r>
        <w:rPr>
          <w:b/>
          <w:sz w:val="23"/>
          <w:szCs w:val="23"/>
        </w:rPr>
        <w:t xml:space="preserve">:</w:t>
      </w:r>
      <w:r/>
    </w:p>
    <w:p>
      <w:pPr>
        <w:pStyle w:val="843"/>
        <w:numPr>
          <w:ilvl w:val="0"/>
          <w:numId w:val="6"/>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Während X so ist, ist Y …</w:t>
      </w:r>
      <w:r/>
    </w:p>
    <w:p>
      <w:pPr>
        <w:pStyle w:val="843"/>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ist …, wohingegen Y … ist.</w:t>
      </w:r>
      <w:r/>
    </w:p>
    <w:p>
      <w:pPr>
        <w:pStyle w:val="843"/>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haben … gemeinsam. </w:t>
      </w:r>
      <w:r/>
    </w:p>
    <w:p>
      <w:pPr>
        <w:pStyle w:val="843"/>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ist gemeinsam, dass …</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Ähnlich wie X ist auch Y …</w:t>
      </w:r>
      <w:r/>
    </w:p>
    <w:p>
      <w:pPr>
        <w:pStyle w:val="843"/>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Ähnlich verhält es sich mit …</w:t>
      </w:r>
      <w:r/>
    </w:p>
    <w:p>
      <w:pPr>
        <w:pStyle w:val="843"/>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Eigenschaften von … sind mit … vergleichbar.</w:t>
      </w:r>
      <w:r/>
    </w:p>
    <w:p>
      <w:pPr>
        <w:pStyle w:val="843"/>
        <w:numPr>
          <w:ilvl w:val="0"/>
          <w:numId w:val="6"/>
        </w:numPr>
        <w:contextualSpacing w:val="0"/>
        <w:ind w:left="1281" w:hanging="357"/>
        <w:jc w:val="both"/>
        <w:spacing w:after="0" w:line="240" w:lineRule="auto"/>
        <w:rPr>
          <w:sz w:val="19"/>
          <w:szCs w:val="19"/>
        </w:rPr>
      </w:pPr>
      <w:r>
        <w:rPr>
          <w:rFonts w:ascii="Segoe Print" w:hAnsi="Segoe Print"/>
          <w:sz w:val="19"/>
          <w:szCs w:val="19"/>
        </w:rPr>
        <w:t xml:space="preserve">XY zeichnet sich aus durch … </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XY zeichnet sich durch … aus. </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Eine besondere Eigenschaft von … besteht in …</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Eine besondere Eigenschaft von … stellt … dar. </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sowohl X als auch Y</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Im Gegensatz zu X ist Y …</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Im Unterschied zu X ist Y …</w:t>
      </w:r>
      <w:r/>
    </w:p>
    <w:p>
      <w:pPr>
        <w:pStyle w:val="843"/>
        <w:numPr>
          <w:ilvl w:val="0"/>
          <w:numId w:val="6"/>
        </w:numPr>
        <w:contextualSpacing w:val="0"/>
        <w:jc w:val="both"/>
        <w:spacing w:after="0" w:line="240" w:lineRule="auto"/>
        <w:rPr>
          <w:sz w:val="19"/>
          <w:szCs w:val="19"/>
        </w:rPr>
      </w:pPr>
      <w:r>
        <w:rPr>
          <w:rFonts w:ascii="Segoe Print" w:hAnsi="Segoe Print"/>
          <w:sz w:val="19"/>
          <w:szCs w:val="19"/>
        </w:rPr>
        <w:t xml:space="preserve">Anders als X ist Y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Während X … ist und Y …(ist), weist Z … auf.</w:t>
      </w:r>
      <w:r>
        <w:rPr>
          <w:sz w:val="19"/>
          <w:szCs w:val="19"/>
        </w:rPr>
        <w:t xml:space="preserve">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Ebenso wie X zeigt Y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Im Gegensatz zu X erweist sich Y als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Trotz dieser Tatsache …</w:t>
      </w:r>
      <w:r/>
    </w:p>
    <w:p>
      <w:pPr>
        <w:pStyle w:val="84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d</w:t>
      </w:r>
      <w:r>
        <w:rPr>
          <w:rFonts w:ascii="Segoe Print" w:hAnsi="Segoe Print"/>
          <w:sz w:val="19"/>
          <w:szCs w:val="19"/>
        </w:rPr>
        <w:t xml:space="preserve">ennoch</w:t>
      </w:r>
      <w:r>
        <w:rPr>
          <w:rFonts w:ascii="Segoe Print" w:hAnsi="Segoe Print"/>
          <w:sz w:val="19"/>
          <w:szCs w:val="19"/>
        </w:rPr>
        <w:t xml:space="preserve">/trotzdem/dessen ungeachtet</w:t>
      </w:r>
      <w:r/>
    </w:p>
    <w:p>
      <w:pPr>
        <w:pStyle w:val="843"/>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43"/>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43"/>
        <w:numPr>
          <w:ilvl w:val="0"/>
          <w:numId w:val="7"/>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843"/>
        <w:numPr>
          <w:ilvl w:val="0"/>
          <w:numId w:val="8"/>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gemeinsames Verfassen eines Textes im angeleiteten Unterrichtsgespräch </w:t>
      </w:r>
      <w:r/>
    </w:p>
    <w:p>
      <w:pPr>
        <w:pStyle w:val="843"/>
        <w:numPr>
          <w:ilvl w:val="0"/>
          <w:numId w:val="8"/>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Extraktion bestimmter sprachlicher Mittel aus fertigem Text + Sicherung im Sprachlernheft/auf Lernplakat</w:t>
      </w:r>
      <w:r/>
    </w:p>
    <w:p>
      <w:pPr>
        <w:pStyle w:val="843"/>
        <w:numPr>
          <w:ilvl w:val="0"/>
          <w:numId w:val="8"/>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Funktion bestimmter sprachlicher Mittel analysieren und diskutieren (lassen)</w:t>
      </w:r>
      <w:r/>
    </w:p>
    <w:p>
      <w:pPr>
        <w:pStyle w:val="843"/>
        <w:numPr>
          <w:ilvl w:val="0"/>
          <w:numId w:val="8"/>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Formulierungsalternativen besprechen </w:t>
      </w:r>
      <w:r/>
    </w:p>
    <w:p>
      <w:pPr>
        <w:pStyle w:val="843"/>
        <w:numPr>
          <w:ilvl w:val="0"/>
          <w:numId w:val="7"/>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843"/>
        <w:numPr>
          <w:ilvl w:val="0"/>
          <w:numId w:val="8"/>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gestufte Texterarbeitung</w:t>
      </w:r>
      <w:r/>
    </w:p>
    <w:p>
      <w:pPr>
        <w:pStyle w:val="843"/>
        <w:numPr>
          <w:ilvl w:val="0"/>
          <w:numId w:val="8"/>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Gesprächs- und Schreibanlässe schaffen</w:t>
      </w:r>
      <w:r/>
    </w:p>
    <w:p>
      <w:pPr>
        <w:pStyle w:val="843"/>
        <w:numPr>
          <w:ilvl w:val="0"/>
          <w:numId w:val="8"/>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Textproduktion nach Vorgaben (mithilfe bestimmter sprachlicher Mittel)</w:t>
      </w:r>
      <w:r/>
    </w:p>
    <w:p>
      <w:pPr>
        <w:pStyle w:val="843"/>
        <w:numPr>
          <w:ilvl w:val="0"/>
          <w:numId w:val="8"/>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Schüler/innen prüfen eigene Texte auf Vorhandensein bestimmter sprachlicher Mittel und beschreiben deren Funktion im Text</w:t>
      </w:r>
      <w:r/>
    </w:p>
    <w:p>
      <w:pPr>
        <w:pStyle w:val="843"/>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190500</wp:posOffset>
                </wp:positionH>
                <wp:positionV relativeFrom="paragraph">
                  <wp:posOffset>1069340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2"/>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15.0pt;mso-position-horizontal:absolute;mso-position-vertical-relative:text;margin-top:84.2pt;mso-position-vertical:absolute;width:220.4pt;height:144.5pt;" wrapcoords="-680 -1036 -680 99620 100023 99620 100023 -1036 -680 -1036" strokecolor="#7F7F7F" strokeweight="0.75pt">
                <v:path textboxrect="0,0,0,0"/>
                <v:imagedata r:id="rId12"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3136265</wp:posOffset>
                </wp:positionH>
                <wp:positionV relativeFrom="paragraph">
                  <wp:posOffset>1069340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3"/>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88;o:allowoverlap:true;o:allowincell:true;mso-position-horizontal-relative:text;margin-left:246.9pt;mso-position-horizontal:absolute;mso-position-vertical-relative:text;margin-top:84.2pt;mso-position-vertical:absolute;width:220.4pt;height:144.5pt;" wrapcoords="-680 -1036 -680 99620 100023 99620 100023 -1036 -680 -1036" strokecolor="#7F7F7F" strokeweight="0.75pt">
                <v:path textboxrect="0,0,0,0"/>
                <v:imagedata r:id="rId13"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footerReference w:type="default" r:id="rId10"/>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helvetica">
    <w:panose1 w:val="020B0604020202020204"/>
  </w:font>
  <w:font w:name="Open Sans">
    <w:panose1 w:val="020B0606030504020204"/>
  </w:font>
  <w:font w:name="Courier New">
    <w:panose1 w:val="02070309020205020404"/>
  </w:font>
  <w:font w:name="Symbol">
    <w:panose1 w:val="05010000000000000000"/>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3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40"/>
        <w:ind w:left="142" w:right="0" w:hanging="142"/>
        <w:tabs>
          <w:tab w:val="left" w:pos="142" w:leader="none"/>
        </w:tabs>
      </w:pPr>
      <w:r>
        <w:rPr>
          <w:rStyle w:val="842"/>
        </w:rPr>
        <w:footnoteRef/>
      </w:r>
      <w:r>
        <w:t xml:space="preserve"> </w:t>
      </w:r>
      <w:r>
        <w:t xml:space="preserve">Sistermann, R.</w:t>
      </w:r>
      <w:r>
        <w:t xml:space="preserve"> (2012</w:t>
      </w:r>
      <w:r>
        <w:t xml:space="preserve">). </w:t>
      </w:r>
      <w:r>
        <w:t xml:space="preserve">Weiterdenken</w:t>
      </w:r>
      <w:r>
        <w:t xml:space="preserve">.</w:t>
      </w:r>
      <w:r>
        <w:t xml:space="preserve"> Philosophie/Ethik. Band C. Oberstufe. Braunschweig</w:t>
      </w:r>
      <w:r>
        <w:t xml:space="preserve">: </w:t>
      </w:r>
      <w:r>
        <w:t xml:space="preserve">Schroedel. S. </w:t>
      </w:r>
      <w:r>
        <w:t xml:space="preserve">142</w:t>
      </w:r>
      <w:r>
        <w:t xml:space="preserve"> </w:t>
      </w:r>
      <w:r>
        <w:t xml:space="preserve">(Thema:</w:t>
      </w:r>
      <w:r>
        <w:t xml:space="preserve"> Ethik weiterdenken – Standpunkte beziehen</w:t>
      </w:r>
      <w:r>
        <w:t xml:space="preserve">). </w:t>
      </w:r>
      <w:r/>
      <w:r/>
      <w:r>
        <w:rPr>
          <w:rStyle w:val="842"/>
        </w:rPr>
      </w:r>
      <w:r/>
    </w:p>
  </w:footnote>
  <w:footnote w:id="3">
    <w:p>
      <w:pPr>
        <w:pStyle w:val="840"/>
      </w:pPr>
      <w:r>
        <w:rPr>
          <w:rStyle w:val="842"/>
        </w:rPr>
        <w:footnoteRef/>
      </w:r>
      <w:r>
        <w:t xml:space="preserve"> E</w:t>
      </w:r>
      <w:r>
        <w:t xml:space="preserve">bd., S. 124</w:t>
      </w:r>
      <w:r>
        <w:t xml:space="preserve"> (Thema: </w:t>
      </w:r>
      <w:r>
        <w:t xml:space="preserve">Der Mensch im Kampf ums Dasein – Darwin</w:t>
      </w:r>
      <w:r>
        <w:t xml:space="preserve">)</w:t>
      </w:r>
      <w:r>
        <w:t xml:space="preserve">.</w:t>
      </w:r>
      <w:r/>
    </w:p>
  </w:footnote>
  <w:footnote w:id="4">
    <w:p>
      <w:pPr>
        <w:pStyle w:val="840"/>
      </w:pPr>
      <w:r>
        <w:rPr>
          <w:rStyle w:val="842"/>
        </w:rPr>
        <w:footnoteRef/>
      </w:r>
      <w:r>
        <w:t xml:space="preserve"> E</w:t>
      </w:r>
      <w:r>
        <w:t xml:space="preserve">bd., S. 60</w:t>
      </w:r>
      <w:r>
        <w:t xml:space="preserve"> (Thema: </w:t>
      </w:r>
      <w:r>
        <w:t xml:space="preserve">Einführung in die Wissenschaftstheorie – Francis Bacon</w:t>
      </w:r>
      <w:r>
        <w:t xml:space="preserve">)</w:t>
      </w:r>
      <w:r>
        <w:t xml:space="preserve">.</w:t>
      </w:r>
      <w:r/>
    </w:p>
  </w:footnote>
  <w:footnote w:id="5">
    <w:p>
      <w:pPr>
        <w:pStyle w:val="840"/>
      </w:pPr>
      <w:r>
        <w:rPr>
          <w:rStyle w:val="842"/>
        </w:rPr>
        <w:footnoteRef/>
      </w:r>
      <w:r>
        <w:t xml:space="preserve"> Ebd., S. 146</w:t>
      </w:r>
      <w:r>
        <w:t xml:space="preserve"> (</w:t>
      </w:r>
      <w:r>
        <w:t xml:space="preserve">Thema: </w:t>
      </w:r>
      <w:r>
        <w:t xml:space="preserve">Gehirn und Bewusstsein</w:t>
      </w:r>
      <w:r>
        <w:t xml:space="preserve">).</w:t>
      </w:r>
      <w:r/>
    </w:p>
  </w:footnote>
  <w:footnote w:id="6">
    <w:p>
      <w:pPr>
        <w:pStyle w:val="840"/>
      </w:pPr>
      <w:r>
        <w:rPr>
          <w:rStyle w:val="842"/>
        </w:rPr>
        <w:footnoteRef/>
      </w:r>
      <w:r>
        <w:t xml:space="preserve"> E</w:t>
      </w:r>
      <w:r>
        <w:t xml:space="preserve">bd., S. 31</w:t>
      </w:r>
      <w:r>
        <w:t xml:space="preserve"> (Thema:</w:t>
      </w:r>
      <w:r>
        <w:t xml:space="preserve"> </w:t>
      </w:r>
      <w:r>
        <w:t xml:space="preserve">Einführung in die Ethik – Artur Schopenhauer</w:t>
      </w:r>
      <w:r>
        <w:t xml:space="preserve">)</w:t>
      </w:r>
      <w:r>
        <w:t xml:space="preserve">.</w:t>
      </w:r>
      <w:r/>
    </w:p>
  </w:footnote>
  <w:footnote w:id="7">
    <w:p>
      <w:pPr>
        <w:pStyle w:val="840"/>
      </w:pPr>
      <w:r>
        <w:rPr>
          <w:rStyle w:val="842"/>
        </w:rPr>
        <w:footnoteRef/>
      </w:r>
      <w:r>
        <w:t xml:space="preserve"> Ebd., S. 26</w:t>
      </w:r>
      <w:r>
        <w:t xml:space="preserve"> (Thema: </w:t>
      </w:r>
      <w:r>
        <w:t xml:space="preserve">Einführung in die Anthropologie – Sigmund Freud und Simone de Beauvoir</w:t>
      </w:r>
      <w:r>
        <w:t xml:space="preserve">).</w:t>
      </w:r>
      <w:r/>
    </w:p>
  </w:footnote>
  <w:footnote w:id="8">
    <w:p>
      <w:pPr>
        <w:pStyle w:val="840"/>
      </w:pPr>
      <w:r>
        <w:rPr>
          <w:rStyle w:val="842"/>
        </w:rPr>
        <w:footnoteRef/>
      </w:r>
      <w:r>
        <w:t xml:space="preserve"> Ebd., S. 190</w:t>
      </w:r>
      <w:r>
        <w:t xml:space="preserve"> (Thema:</w:t>
      </w:r>
      <w:r>
        <w:t xml:space="preserve"> Begründung und Legitimation ethischen Handelns</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6"/>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36"/>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36"/>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847"/>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5">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6">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7">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3"/>
  </w:num>
  <w:num w:numId="2">
    <w:abstractNumId w:val="7"/>
  </w:num>
  <w:num w:numId="3">
    <w:abstractNumId w:val="4"/>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32"/>
    <w:next w:val="832"/>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33"/>
    <w:link w:val="11"/>
    <w:uiPriority w:val="9"/>
    <w:rPr>
      <w:rFonts w:ascii="Arial" w:hAnsi="Arial" w:cs="Arial" w:eastAsia="Arial"/>
      <w:sz w:val="40"/>
      <w:szCs w:val="40"/>
    </w:rPr>
  </w:style>
  <w:style w:type="paragraph" w:styleId="13">
    <w:name w:val="Heading 2"/>
    <w:basedOn w:val="832"/>
    <w:next w:val="83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33"/>
    <w:link w:val="13"/>
    <w:uiPriority w:val="9"/>
    <w:rPr>
      <w:rFonts w:ascii="Arial" w:hAnsi="Arial" w:cs="Arial" w:eastAsia="Arial"/>
      <w:sz w:val="34"/>
    </w:rPr>
  </w:style>
  <w:style w:type="paragraph" w:styleId="15">
    <w:name w:val="Heading 3"/>
    <w:basedOn w:val="832"/>
    <w:next w:val="832"/>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33"/>
    <w:link w:val="15"/>
    <w:uiPriority w:val="9"/>
    <w:rPr>
      <w:rFonts w:ascii="Arial" w:hAnsi="Arial" w:cs="Arial" w:eastAsia="Arial"/>
      <w:sz w:val="30"/>
      <w:szCs w:val="30"/>
    </w:rPr>
  </w:style>
  <w:style w:type="paragraph" w:styleId="17">
    <w:name w:val="Heading 4"/>
    <w:basedOn w:val="832"/>
    <w:next w:val="83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33"/>
    <w:link w:val="17"/>
    <w:uiPriority w:val="9"/>
    <w:rPr>
      <w:rFonts w:ascii="Arial" w:hAnsi="Arial" w:cs="Arial" w:eastAsia="Arial"/>
      <w:b/>
      <w:bCs/>
      <w:sz w:val="26"/>
      <w:szCs w:val="26"/>
    </w:rPr>
  </w:style>
  <w:style w:type="paragraph" w:styleId="19">
    <w:name w:val="Heading 5"/>
    <w:basedOn w:val="832"/>
    <w:next w:val="83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33"/>
    <w:link w:val="19"/>
    <w:uiPriority w:val="9"/>
    <w:rPr>
      <w:rFonts w:ascii="Arial" w:hAnsi="Arial" w:cs="Arial" w:eastAsia="Arial"/>
      <w:b/>
      <w:bCs/>
      <w:sz w:val="24"/>
      <w:szCs w:val="24"/>
    </w:rPr>
  </w:style>
  <w:style w:type="paragraph" w:styleId="21">
    <w:name w:val="Heading 6"/>
    <w:basedOn w:val="832"/>
    <w:next w:val="83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33"/>
    <w:link w:val="21"/>
    <w:uiPriority w:val="9"/>
    <w:rPr>
      <w:rFonts w:ascii="Arial" w:hAnsi="Arial" w:cs="Arial" w:eastAsia="Arial"/>
      <w:b/>
      <w:bCs/>
      <w:sz w:val="22"/>
      <w:szCs w:val="22"/>
    </w:rPr>
  </w:style>
  <w:style w:type="paragraph" w:styleId="23">
    <w:name w:val="Heading 7"/>
    <w:basedOn w:val="832"/>
    <w:next w:val="83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33"/>
    <w:link w:val="23"/>
    <w:uiPriority w:val="9"/>
    <w:rPr>
      <w:rFonts w:ascii="Arial" w:hAnsi="Arial" w:cs="Arial" w:eastAsia="Arial"/>
      <w:b/>
      <w:bCs/>
      <w:i/>
      <w:iCs/>
      <w:sz w:val="22"/>
      <w:szCs w:val="22"/>
    </w:rPr>
  </w:style>
  <w:style w:type="paragraph" w:styleId="25">
    <w:name w:val="Heading 8"/>
    <w:basedOn w:val="832"/>
    <w:next w:val="83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33"/>
    <w:link w:val="25"/>
    <w:uiPriority w:val="9"/>
    <w:rPr>
      <w:rFonts w:ascii="Arial" w:hAnsi="Arial" w:cs="Arial" w:eastAsia="Arial"/>
      <w:i/>
      <w:iCs/>
      <w:sz w:val="22"/>
      <w:szCs w:val="22"/>
    </w:rPr>
  </w:style>
  <w:style w:type="paragraph" w:styleId="27">
    <w:name w:val="Heading 9"/>
    <w:basedOn w:val="832"/>
    <w:next w:val="83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33"/>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32"/>
    <w:next w:val="832"/>
    <w:link w:val="33"/>
    <w:uiPriority w:val="10"/>
    <w:qFormat/>
    <w:pPr>
      <w:contextualSpacing/>
      <w:spacing w:before="300" w:after="200"/>
    </w:pPr>
    <w:rPr>
      <w:sz w:val="48"/>
      <w:szCs w:val="48"/>
    </w:rPr>
  </w:style>
  <w:style w:type="character" w:styleId="33">
    <w:name w:val="Title Char"/>
    <w:basedOn w:val="833"/>
    <w:link w:val="32"/>
    <w:uiPriority w:val="10"/>
    <w:rPr>
      <w:sz w:val="48"/>
      <w:szCs w:val="48"/>
    </w:rPr>
  </w:style>
  <w:style w:type="paragraph" w:styleId="34">
    <w:name w:val="Subtitle"/>
    <w:basedOn w:val="832"/>
    <w:next w:val="832"/>
    <w:link w:val="35"/>
    <w:uiPriority w:val="11"/>
    <w:qFormat/>
    <w:pPr>
      <w:spacing w:before="200" w:after="200"/>
    </w:pPr>
    <w:rPr>
      <w:sz w:val="24"/>
      <w:szCs w:val="24"/>
    </w:rPr>
  </w:style>
  <w:style w:type="character" w:styleId="35">
    <w:name w:val="Subtitle Char"/>
    <w:basedOn w:val="833"/>
    <w:link w:val="34"/>
    <w:uiPriority w:val="11"/>
    <w:rPr>
      <w:sz w:val="24"/>
      <w:szCs w:val="24"/>
    </w:rPr>
  </w:style>
  <w:style w:type="paragraph" w:styleId="36">
    <w:name w:val="Quote"/>
    <w:basedOn w:val="832"/>
    <w:next w:val="832"/>
    <w:link w:val="37"/>
    <w:uiPriority w:val="29"/>
    <w:qFormat/>
    <w:pPr>
      <w:ind w:left="720" w:right="720"/>
    </w:pPr>
    <w:rPr>
      <w:i/>
    </w:rPr>
  </w:style>
  <w:style w:type="character" w:styleId="37">
    <w:name w:val="Quote Char"/>
    <w:link w:val="36"/>
    <w:uiPriority w:val="29"/>
    <w:rPr>
      <w:i/>
    </w:rPr>
  </w:style>
  <w:style w:type="paragraph" w:styleId="38">
    <w:name w:val="Intense Quote"/>
    <w:basedOn w:val="832"/>
    <w:next w:val="83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33"/>
    <w:link w:val="836"/>
    <w:uiPriority w:val="99"/>
  </w:style>
  <w:style w:type="character" w:styleId="43">
    <w:name w:val="Footer Char"/>
    <w:basedOn w:val="833"/>
    <w:link w:val="838"/>
    <w:uiPriority w:val="99"/>
  </w:style>
  <w:style w:type="paragraph" w:styleId="44">
    <w:name w:val="Caption"/>
    <w:basedOn w:val="832"/>
    <w:next w:val="832"/>
    <w:uiPriority w:val="35"/>
    <w:semiHidden/>
    <w:unhideWhenUsed/>
    <w:qFormat/>
    <w:pPr>
      <w:spacing w:line="276" w:lineRule="auto"/>
    </w:pPr>
    <w:rPr>
      <w:b/>
      <w:bCs/>
      <w:color w:val="4F81BD" w:themeColor="accent1"/>
      <w:sz w:val="18"/>
      <w:szCs w:val="18"/>
    </w:rPr>
  </w:style>
  <w:style w:type="character" w:styleId="45">
    <w:name w:val="Caption Char"/>
    <w:basedOn w:val="44"/>
    <w:link w:val="838"/>
    <w:uiPriority w:val="99"/>
  </w:style>
  <w:style w:type="table" w:styleId="47">
    <w:name w:val="Table Grid Light"/>
    <w:basedOn w:val="83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3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3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3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3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3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3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3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3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3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3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3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3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3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3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3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3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3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3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3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3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3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3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3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3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3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3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3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3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3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3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3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3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3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3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3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3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3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3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3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3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3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3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3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3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3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3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3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3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3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3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3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3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3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3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3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3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3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3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3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3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3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3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3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3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3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3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3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3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3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3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3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3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3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3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3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3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3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3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3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3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3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3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3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3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3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3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3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3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3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3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3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3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3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3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3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3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3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3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3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3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3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3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3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3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3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3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3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40"/>
    <w:uiPriority w:val="99"/>
    <w:rPr>
      <w:sz w:val="18"/>
    </w:rPr>
  </w:style>
  <w:style w:type="paragraph" w:styleId="176">
    <w:name w:val="endnote text"/>
    <w:basedOn w:val="83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33"/>
    <w:uiPriority w:val="99"/>
    <w:semiHidden/>
    <w:unhideWhenUsed/>
    <w:rPr>
      <w:vertAlign w:val="superscript"/>
    </w:rPr>
  </w:style>
  <w:style w:type="paragraph" w:styleId="179">
    <w:name w:val="toc 1"/>
    <w:basedOn w:val="832"/>
    <w:next w:val="832"/>
    <w:uiPriority w:val="39"/>
    <w:unhideWhenUsed/>
    <w:pPr>
      <w:ind w:left="0" w:right="0" w:firstLine="0"/>
      <w:spacing w:after="57"/>
    </w:pPr>
  </w:style>
  <w:style w:type="paragraph" w:styleId="180">
    <w:name w:val="toc 2"/>
    <w:basedOn w:val="832"/>
    <w:next w:val="832"/>
    <w:uiPriority w:val="39"/>
    <w:unhideWhenUsed/>
    <w:pPr>
      <w:ind w:left="283" w:right="0" w:firstLine="0"/>
      <w:spacing w:after="57"/>
    </w:pPr>
  </w:style>
  <w:style w:type="paragraph" w:styleId="181">
    <w:name w:val="toc 3"/>
    <w:basedOn w:val="832"/>
    <w:next w:val="832"/>
    <w:uiPriority w:val="39"/>
    <w:unhideWhenUsed/>
    <w:pPr>
      <w:ind w:left="567" w:right="0" w:firstLine="0"/>
      <w:spacing w:after="57"/>
    </w:pPr>
  </w:style>
  <w:style w:type="paragraph" w:styleId="182">
    <w:name w:val="toc 4"/>
    <w:basedOn w:val="832"/>
    <w:next w:val="832"/>
    <w:uiPriority w:val="39"/>
    <w:unhideWhenUsed/>
    <w:pPr>
      <w:ind w:left="850" w:right="0" w:firstLine="0"/>
      <w:spacing w:after="57"/>
    </w:pPr>
  </w:style>
  <w:style w:type="paragraph" w:styleId="183">
    <w:name w:val="toc 5"/>
    <w:basedOn w:val="832"/>
    <w:next w:val="832"/>
    <w:uiPriority w:val="39"/>
    <w:unhideWhenUsed/>
    <w:pPr>
      <w:ind w:left="1134" w:right="0" w:firstLine="0"/>
      <w:spacing w:after="57"/>
    </w:pPr>
  </w:style>
  <w:style w:type="paragraph" w:styleId="184">
    <w:name w:val="toc 6"/>
    <w:basedOn w:val="832"/>
    <w:next w:val="832"/>
    <w:uiPriority w:val="39"/>
    <w:unhideWhenUsed/>
    <w:pPr>
      <w:ind w:left="1417" w:right="0" w:firstLine="0"/>
      <w:spacing w:after="57"/>
    </w:pPr>
  </w:style>
  <w:style w:type="paragraph" w:styleId="185">
    <w:name w:val="toc 7"/>
    <w:basedOn w:val="832"/>
    <w:next w:val="832"/>
    <w:uiPriority w:val="39"/>
    <w:unhideWhenUsed/>
    <w:pPr>
      <w:ind w:left="1701" w:right="0" w:firstLine="0"/>
      <w:spacing w:after="57"/>
    </w:pPr>
  </w:style>
  <w:style w:type="paragraph" w:styleId="186">
    <w:name w:val="toc 8"/>
    <w:basedOn w:val="832"/>
    <w:next w:val="832"/>
    <w:uiPriority w:val="39"/>
    <w:unhideWhenUsed/>
    <w:pPr>
      <w:ind w:left="1984" w:right="0" w:firstLine="0"/>
      <w:spacing w:after="57"/>
    </w:pPr>
  </w:style>
  <w:style w:type="paragraph" w:styleId="187">
    <w:name w:val="toc 9"/>
    <w:basedOn w:val="832"/>
    <w:next w:val="832"/>
    <w:uiPriority w:val="39"/>
    <w:unhideWhenUsed/>
    <w:pPr>
      <w:ind w:left="2268" w:right="0" w:firstLine="0"/>
      <w:spacing w:after="57"/>
    </w:pPr>
  </w:style>
  <w:style w:type="paragraph" w:styleId="188">
    <w:name w:val="TOC Heading"/>
    <w:uiPriority w:val="39"/>
    <w:unhideWhenUsed/>
  </w:style>
  <w:style w:type="paragraph" w:styleId="189">
    <w:name w:val="table of figures"/>
    <w:basedOn w:val="832"/>
    <w:next w:val="832"/>
    <w:uiPriority w:val="99"/>
    <w:unhideWhenUsed/>
    <w:pPr>
      <w:spacing w:after="0" w:afterAutospacing="0"/>
    </w:pPr>
  </w:style>
  <w:style w:type="paragraph" w:styleId="832" w:default="1">
    <w:name w:val="Normal"/>
    <w:qFormat/>
    <w:pPr>
      <w:spacing w:after="200" w:line="276" w:lineRule="auto"/>
    </w:pPr>
    <w:rPr>
      <w:rFonts w:asciiTheme="minorHAnsi" w:hAnsiTheme="minorHAnsi"/>
      <w:sz w:val="22"/>
      <w:szCs w:val="22"/>
    </w:rPr>
  </w:style>
  <w:style w:type="character" w:styleId="833" w:default="1">
    <w:name w:val="Default Paragraph Font"/>
    <w:uiPriority w:val="1"/>
    <w:semiHidden/>
    <w:unhideWhenUsed/>
  </w:style>
  <w:style w:type="table" w:styleId="834" w:default="1">
    <w:name w:val="Normal Table"/>
    <w:uiPriority w:val="99"/>
    <w:semiHidden/>
    <w:unhideWhenUsed/>
    <w:tblPr>
      <w:tblInd w:w="0" w:type="dxa"/>
      <w:tblCellMar>
        <w:left w:w="108" w:type="dxa"/>
        <w:top w:w="0" w:type="dxa"/>
        <w:right w:w="108" w:type="dxa"/>
        <w:bottom w:w="0" w:type="dxa"/>
      </w:tblCellMar>
    </w:tblPr>
  </w:style>
  <w:style w:type="numbering" w:styleId="835" w:default="1">
    <w:name w:val="No List"/>
    <w:uiPriority w:val="99"/>
    <w:semiHidden/>
    <w:unhideWhenUsed/>
  </w:style>
  <w:style w:type="paragraph" w:styleId="836">
    <w:name w:val="Header"/>
    <w:basedOn w:val="832"/>
    <w:link w:val="837"/>
    <w:uiPriority w:val="99"/>
    <w:unhideWhenUsed/>
    <w:pPr>
      <w:tabs>
        <w:tab w:val="center" w:pos="4536" w:leader="none"/>
        <w:tab w:val="right" w:pos="9072" w:leader="none"/>
      </w:tabs>
    </w:pPr>
  </w:style>
  <w:style w:type="character" w:styleId="837" w:customStyle="1">
    <w:name w:val="Kopfzeile Zchn"/>
    <w:basedOn w:val="833"/>
    <w:link w:val="836"/>
    <w:uiPriority w:val="99"/>
    <w:rPr>
      <w:rFonts w:ascii="Rotis Sans Serif Std Light" w:hAnsi="Rotis Sans Serif Std Light"/>
    </w:rPr>
  </w:style>
  <w:style w:type="paragraph" w:styleId="838">
    <w:name w:val="Footer"/>
    <w:basedOn w:val="832"/>
    <w:link w:val="839"/>
    <w:uiPriority w:val="99"/>
    <w:unhideWhenUsed/>
    <w:pPr>
      <w:tabs>
        <w:tab w:val="center" w:pos="4536" w:leader="none"/>
        <w:tab w:val="right" w:pos="9072" w:leader="none"/>
      </w:tabs>
    </w:pPr>
  </w:style>
  <w:style w:type="character" w:styleId="839" w:customStyle="1">
    <w:name w:val="Fußzeile Zchn"/>
    <w:basedOn w:val="833"/>
    <w:link w:val="838"/>
    <w:uiPriority w:val="99"/>
    <w:rPr>
      <w:rFonts w:ascii="Rotis Sans Serif Std Light" w:hAnsi="Rotis Sans Serif Std Light"/>
    </w:rPr>
  </w:style>
  <w:style w:type="paragraph" w:styleId="840">
    <w:name w:val="footnote text"/>
    <w:basedOn w:val="832"/>
    <w:link w:val="841"/>
    <w:uiPriority w:val="99"/>
    <w:semiHidden/>
    <w:unhideWhenUsed/>
    <w:pPr>
      <w:spacing w:after="0" w:line="240" w:lineRule="auto"/>
    </w:pPr>
    <w:rPr>
      <w:sz w:val="20"/>
      <w:szCs w:val="20"/>
    </w:rPr>
  </w:style>
  <w:style w:type="character" w:styleId="841" w:customStyle="1">
    <w:name w:val="Fußnotentext Zchn"/>
    <w:basedOn w:val="833"/>
    <w:link w:val="840"/>
    <w:uiPriority w:val="99"/>
    <w:semiHidden/>
    <w:rPr>
      <w:rFonts w:asciiTheme="minorHAnsi" w:hAnsiTheme="minorHAnsi"/>
      <w:sz w:val="20"/>
      <w:szCs w:val="20"/>
    </w:rPr>
  </w:style>
  <w:style w:type="character" w:styleId="842">
    <w:name w:val="footnote reference"/>
    <w:basedOn w:val="833"/>
    <w:uiPriority w:val="99"/>
    <w:semiHidden/>
    <w:unhideWhenUsed/>
    <w:rPr>
      <w:vertAlign w:val="superscript"/>
    </w:rPr>
  </w:style>
  <w:style w:type="paragraph" w:styleId="843">
    <w:name w:val="List Paragraph"/>
    <w:basedOn w:val="832"/>
    <w:uiPriority w:val="34"/>
    <w:qFormat/>
    <w:pPr>
      <w:contextualSpacing/>
      <w:ind w:left="720"/>
    </w:pPr>
  </w:style>
  <w:style w:type="table" w:styleId="844">
    <w:name w:val="Table Grid"/>
    <w:basedOn w:val="834"/>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45" w:customStyle="1">
    <w:name w:val="Default"/>
    <w:rPr>
      <w:rFonts w:ascii="Arial" w:hAnsi="Arial" w:cs="Arial"/>
      <w:color w:val="000000"/>
    </w:rPr>
  </w:style>
  <w:style w:type="character" w:styleId="846">
    <w:name w:val="Hyperlink"/>
    <w:basedOn w:val="833"/>
    <w:uiPriority w:val="99"/>
    <w:unhideWhenUsed/>
    <w:rPr>
      <w:color w:val="0563C1" w:themeColor="hyperlink"/>
      <w:u w:val="single"/>
    </w:rPr>
  </w:style>
  <w:style w:type="paragraph" w:styleId="847">
    <w:name w:val="List Bullet"/>
    <w:basedOn w:val="832"/>
    <w:uiPriority w:val="99"/>
    <w:unhideWhenUsed/>
    <w:pPr>
      <w:numPr>
        <w:numId w:val="5"/>
      </w:numPr>
      <w:contextualSpacing/>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2.png"/><Relationship Id="rId13"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85321725-B656-44BD-9810-C1B488E1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2020-08-25T10:32:00Z</dcterms:created>
  <dcterms:modified xsi:type="dcterms:W3CDTF">2022-02-26T17:53:34Z</dcterms:modified>
</cp:coreProperties>
</file>