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40"/>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Erdkunde</w:t>
      </w:r>
      <w:r>
        <w:rPr>
          <w:sz w:val="23"/>
          <w:szCs w:val="23"/>
        </w:rPr>
        <w:t xml:space="preserve"> </w:t>
      </w:r>
      <w:r>
        <w:rPr>
          <w:sz w:val="23"/>
          <w:szCs w:val="23"/>
        </w:rPr>
        <w:t xml:space="preserve">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tabs>
          <w:tab w:val="left" w:pos="2977" w:leader="none"/>
        </w:tabs>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Beschreiben Sie die Lage und naturräumlichen Gegebenheiten der Great Plains in den USA (Atlas).</w:t>
      </w:r>
      <w:r>
        <w:rPr>
          <w:b/>
        </w:rPr>
        <w:t xml:space="preserve">“</w:t>
      </w:r>
      <w:r>
        <w:rPr>
          <w:rStyle w:val="839"/>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u w:val="single"/>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 Anforderung</w:t>
      </w:r>
      <w:r>
        <w:t xml:space="preserve">: </w:t>
      </w:r>
      <w:r>
        <w:tab/>
      </w:r>
      <w:r>
        <w:rPr>
          <w:rFonts w:ascii="Segoe Print" w:hAnsi="Segoe Print"/>
          <w:sz w:val="19"/>
          <w:szCs w:val="19"/>
          <w:u w:val="single"/>
        </w:rPr>
        <w:t xml:space="preserve">Lage und naturräumliche Gegebenheiten der Great Plains (USA)</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 Anforderung</w:t>
      </w:r>
      <w:r>
        <w:t xml:space="preserve">: </w:t>
      </w:r>
      <w: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beschreiben</w:t>
      </w:r>
      <w:r>
        <w:rPr>
          <w:rFonts w:ascii="Segoe Print" w:hAnsi="Segoe Print"/>
          <w:sz w:val="19"/>
          <w:szCs w:val="19"/>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Stellen Sie das Pressure-and-Release-Modell (PAR) dar (M 5, M 6).</w:t>
      </w:r>
      <w:r>
        <w:rPr>
          <w:b/>
          <w:sz w:val="23"/>
          <w:szCs w:val="23"/>
        </w:rPr>
        <w:t xml:space="preserve">“</w:t>
      </w:r>
      <w:r>
        <w:rPr>
          <w:rStyle w:val="839"/>
          <w:b/>
          <w:sz w:val="23"/>
          <w:szCs w:val="23"/>
        </w:rPr>
        <w:footnoteReference w:id="3"/>
      </w:r>
      <w:r>
        <w:rPr>
          <w:b/>
          <w:sz w:val="23"/>
          <w:szCs w:val="23"/>
        </w:rPr>
        <w:t xml:space="preserve"> </w:t>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r>
      <w:r>
        <w:rPr>
          <w:rFonts w:ascii="Segoe Print" w:hAnsi="Segoe Print"/>
          <w:sz w:val="19"/>
          <w:szCs w:val="19"/>
          <w:u w:val="single"/>
        </w:rPr>
        <w:t xml:space="preserve">Pressure-and-Release-Modell</w:t>
      </w:r>
      <w:r/>
    </w:p>
    <w:p>
      <w:pPr>
        <w:ind w:left="567"/>
        <w:jc w:val="both"/>
        <w:spacing w:after="0" w:line="340" w:lineRule="exact"/>
        <w:tabs>
          <w:tab w:val="left" w:pos="2977" w:leader="none"/>
        </w:tabs>
        <w:rPr>
          <w:rFonts w:ascii="Segoe Print" w:hAnsi="Segoe Print"/>
          <w:sz w:val="19"/>
          <w:szCs w:val="19"/>
        </w:rPr>
      </w:pPr>
      <w:r>
        <w:rPr>
          <w:sz w:val="23"/>
          <w:szCs w:val="23"/>
        </w:rPr>
        <w:t xml:space="preserve">Sprachliche</w:t>
      </w:r>
      <w:r>
        <w:rPr>
          <w:sz w:val="23"/>
          <w:szCs w:val="23"/>
        </w:rPr>
        <w:t xml:space="preserve"> </w:t>
      </w:r>
      <w:r>
        <w:rPr>
          <w:sz w:val="23"/>
          <w:szCs w:val="23"/>
        </w:rPr>
        <w:t xml:space="preserve">Anforderung:</w:t>
      </w:r>
      <w:r>
        <w:rPr>
          <w:sz w:val="23"/>
          <w:szCs w:val="23"/>
        </w:rPr>
        <w:tab/>
      </w:r>
      <w:r>
        <w:rPr>
          <w:rFonts w:ascii="Segoe Print" w:hAnsi="Segoe Print"/>
          <w:sz w:val="19"/>
          <w:szCs w:val="19"/>
          <w:u w:val="single"/>
        </w:rPr>
        <w:t xml:space="preserve">Kennen des Operators „darstellen“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Charakterisieren Sie die Bedeutung von Wasser als Motor des Lebens (M 3).</w:t>
      </w:r>
      <w:r>
        <w:rPr>
          <w:b/>
          <w:sz w:val="23"/>
          <w:szCs w:val="23"/>
        </w:rPr>
        <w:t xml:space="preserve">“</w:t>
      </w:r>
      <w:r>
        <w:rPr>
          <w:rStyle w:val="839"/>
          <w:b/>
          <w:sz w:val="23"/>
          <w:szCs w:val="23"/>
        </w:rPr>
        <w:footnoteReference w:id="4"/>
      </w:r>
      <w:r>
        <w:rPr>
          <w:b/>
          <w:sz w:val="23"/>
          <w:szCs w:val="23"/>
        </w:rPr>
        <w:t xml:space="preserve"> </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Fachliche </w:t>
      </w:r>
      <w:r>
        <w:rPr>
          <w:sz w:val="23"/>
          <w:szCs w:val="23"/>
        </w:rPr>
        <w:t xml:space="preserve">Anforderung</w:t>
      </w:r>
      <w:r>
        <w:rPr>
          <w:sz w:val="23"/>
          <w:szCs w:val="23"/>
        </w:rPr>
        <w:t xml:space="preserve">: </w:t>
      </w:r>
      <w:r>
        <w:rPr>
          <w:sz w:val="23"/>
          <w:szCs w:val="23"/>
        </w:rPr>
        <w:tab/>
      </w:r>
      <w:r>
        <w:rPr>
          <w:rFonts w:ascii="Segoe Print" w:hAnsi="Segoe Print"/>
          <w:sz w:val="19"/>
          <w:szCs w:val="19"/>
          <w:u w:val="single"/>
        </w:rPr>
        <w:t xml:space="preserve">Bedeutung von Wasser als Motor des Lebens</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r>
      <w:r>
        <w:rPr>
          <w:rFonts w:ascii="Segoe Print" w:hAnsi="Segoe Print"/>
          <w:sz w:val="19"/>
          <w:szCs w:val="19"/>
          <w:u w:val="single"/>
        </w:rPr>
        <w:t xml:space="preserve">Kennen des Operators „charakterisieren“</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Begründen Sie, welche Bodenbearbeitungsverfahren den Boden am besten schonen (M 3 – M 4).</w:t>
      </w:r>
      <w:r>
        <w:rPr>
          <w:b/>
          <w:sz w:val="23"/>
          <w:szCs w:val="23"/>
        </w:rPr>
        <w:t xml:space="preserve">“</w:t>
      </w:r>
      <w:r>
        <w:rPr>
          <w:rStyle w:val="839"/>
          <w:b/>
          <w:sz w:val="23"/>
          <w:szCs w:val="23"/>
        </w:rPr>
        <w:footnoteReference w:id="5"/>
      </w:r>
      <w:r>
        <w:rPr>
          <w:b/>
          <w:sz w:val="23"/>
          <w:szCs w:val="23"/>
        </w:rPr>
        <w:t xml:space="preserve"> </w:t>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r>
      <w:r>
        <w:rPr>
          <w:rFonts w:ascii="Segoe Print" w:hAnsi="Segoe Print"/>
          <w:sz w:val="19"/>
          <w:szCs w:val="19"/>
          <w:u w:val="single"/>
        </w:rPr>
        <w:t xml:space="preserve">Vor- und Nachteile von </w:t>
      </w:r>
      <w:r>
        <w:rPr>
          <w:rFonts w:ascii="Segoe Print" w:hAnsi="Segoe Print"/>
          <w:sz w:val="19"/>
          <w:szCs w:val="19"/>
          <w:u w:val="single"/>
        </w:rPr>
        <w:t xml:space="preserve">einzelnen </w:t>
      </w:r>
      <w:r>
        <w:rPr>
          <w:rFonts w:ascii="Segoe Print" w:hAnsi="Segoe Print"/>
          <w:sz w:val="19"/>
          <w:szCs w:val="19"/>
          <w:u w:val="single"/>
        </w:rPr>
        <w:t xml:space="preserve">Bodenbearbeitungsverfahren </w:t>
      </w:r>
      <w:r/>
    </w:p>
    <w:p>
      <w:pPr>
        <w:ind w:left="567"/>
        <w:jc w:val="both"/>
        <w:spacing w:after="0" w:line="340" w:lineRule="exact"/>
        <w:tabs>
          <w:tab w:val="left" w:pos="2977" w:leader="none"/>
        </w:tabs>
        <w:rPr>
          <w:rFonts w:ascii="Segoe Print" w:hAnsi="Segoe Print"/>
          <w:sz w:val="19"/>
          <w:szCs w:val="19"/>
        </w:rPr>
      </w:pPr>
      <w:r>
        <w:rPr>
          <w:sz w:val="23"/>
          <w:szCs w:val="23"/>
        </w:rPr>
        <w:t xml:space="preserve">Sprachliche</w:t>
      </w:r>
      <w:r>
        <w:rPr>
          <w:sz w:val="23"/>
          <w:szCs w:val="23"/>
        </w:rPr>
        <w:t xml:space="preserve"> </w:t>
      </w:r>
      <w:r>
        <w:rPr>
          <w:sz w:val="23"/>
          <w:szCs w:val="23"/>
        </w:rPr>
        <w:t xml:space="preserve">Anforderung:</w:t>
      </w:r>
      <w:r>
        <w:rPr>
          <w:sz w:val="23"/>
          <w:szCs w:val="23"/>
        </w:rPr>
        <w:tab/>
      </w:r>
      <w:r>
        <w:rPr>
          <w:rFonts w:ascii="Segoe Print" w:hAnsi="Segoe Print"/>
          <w:sz w:val="19"/>
          <w:szCs w:val="19"/>
          <w:u w:val="single"/>
        </w:rPr>
        <w:t xml:space="preserve">Kennen des Operators „begründen“</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Erörtern Sie den Beitrag der Geographie zur Erforschung von Vulnerabilität und </w:t>
      </w:r>
      <w:r>
        <w:rPr>
          <w:b/>
          <w:sz w:val="23"/>
          <w:szCs w:val="23"/>
        </w:rPr>
        <w:t xml:space="preserve">Stärkung von </w:t>
      </w:r>
      <w:r>
        <w:rPr>
          <w:b/>
          <w:sz w:val="23"/>
          <w:szCs w:val="23"/>
        </w:rPr>
        <w:t xml:space="preserve">Resilienz (M 7).</w:t>
      </w:r>
      <w:r>
        <w:rPr>
          <w:b/>
          <w:sz w:val="23"/>
          <w:szCs w:val="23"/>
        </w:rPr>
        <w:t xml:space="preserve">“</w:t>
      </w:r>
      <w:r>
        <w:rPr>
          <w:rStyle w:val="839"/>
          <w:b/>
          <w:sz w:val="23"/>
          <w:szCs w:val="23"/>
        </w:rPr>
        <w:footnoteReference w:id="6"/>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r>
      <w:r>
        <w:rPr>
          <w:rFonts w:ascii="Segoe Print" w:hAnsi="Segoe Print"/>
          <w:sz w:val="19"/>
          <w:szCs w:val="19"/>
          <w:u w:val="single"/>
        </w:rPr>
        <w:t xml:space="preserve">Beitrag von Geographie zur Erforschung von Vulnerabilität und zur</w:t>
      </w:r>
      <w:r>
        <w:rPr>
          <w:rFonts w:ascii="Segoe Print" w:hAnsi="Segoe Print"/>
          <w:sz w:val="19"/>
          <w:szCs w:val="19"/>
        </w:rPr>
        <w:t xml:space="preserve"> </w:t>
      </w:r>
      <w:r>
        <w:rPr>
          <w:rFonts w:ascii="Segoe Print" w:hAnsi="Segoe Print"/>
          <w:sz w:val="19"/>
          <w:szCs w:val="19"/>
        </w:rPr>
        <w:br/>
        <w:t xml:space="preserve"> </w:t>
      </w:r>
      <w:r>
        <w:rPr>
          <w:rFonts w:ascii="Segoe Print" w:hAnsi="Segoe Print"/>
          <w:sz w:val="19"/>
          <w:szCs w:val="19"/>
        </w:rPr>
        <w:tab/>
      </w:r>
      <w:r>
        <w:rPr>
          <w:rFonts w:ascii="Segoe Print" w:hAnsi="Segoe Print"/>
          <w:sz w:val="19"/>
          <w:szCs w:val="19"/>
          <w:u w:val="single"/>
        </w:rPr>
        <w:t xml:space="preserve">Stärkung von Resilienz</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r>
      <w:r>
        <w:rPr>
          <w:rFonts w:ascii="Segoe Print" w:hAnsi="Segoe Print"/>
          <w:sz w:val="19"/>
          <w:szCs w:val="19"/>
          <w:u w:val="single"/>
        </w:rPr>
        <w:t xml:space="preserve">Kennen des Operators „erörtern“</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Gute Böden sind für Menschen überlebenswichtig. Nehmen Sie Stellung.</w:t>
      </w:r>
      <w:r>
        <w:rPr>
          <w:b/>
          <w:sz w:val="23"/>
          <w:szCs w:val="23"/>
        </w:rPr>
        <w:t xml:space="preserve">“</w:t>
      </w:r>
      <w:r>
        <w:rPr>
          <w:rStyle w:val="839"/>
          <w:b/>
          <w:sz w:val="23"/>
          <w:szCs w:val="23"/>
        </w:rPr>
        <w:footnoteReference w:id="7"/>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r>
      <w:r>
        <w:rPr>
          <w:rFonts w:ascii="Segoe Print" w:hAnsi="Segoe Print"/>
          <w:sz w:val="19"/>
          <w:szCs w:val="19"/>
          <w:u w:val="single"/>
        </w:rPr>
        <w:t xml:space="preserve">Bedeutung von guten Böden für den Menschen</w:t>
      </w:r>
      <w:r>
        <w:rPr>
          <w:sz w:val="23"/>
          <w:szCs w:val="23"/>
        </w:rPr>
        <w:t xml:space="preserve"> </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r>
      <w:r>
        <w:rPr>
          <w:rFonts w:ascii="Segoe Print" w:hAnsi="Segoe Print"/>
          <w:sz w:val="19"/>
          <w:szCs w:val="19"/>
          <w:u w:val="single"/>
        </w:rPr>
        <w:t xml:space="preserve">Kennen des Operators „Stellung nehmen“</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40"/>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w:t>
      </w:r>
      <w:r>
        <w:rPr>
          <w:sz w:val="23"/>
          <w:szCs w:val="23"/>
        </w:rPr>
        <w:t xml:space="preserve">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w:t>
      </w:r>
      <w:r>
        <w:t xml:space="preserve">Erd</w:t>
      </w:r>
      <w:r>
        <w:t xml:space="preserve">kunde (Sekundarstufe II),</w:t>
      </w:r>
      <w:r>
        <w:t xml:space="preserve"> orientieren:</w:t>
      </w:r>
      <w:r/>
    </w:p>
    <w:tbl>
      <w:tblPr>
        <w:tblStyle w:val="841"/>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w:t>
            </w:r>
            <w:r/>
          </w:p>
        </w:tc>
      </w:tr>
      <w:tr>
        <w:trPr/>
        <w:tc>
          <w:tcPr>
            <w:tcW w:w="1843" w:type="dxa"/>
            <w:textDirection w:val="lrTb"/>
            <w:noWrap w:val="false"/>
          </w:tcPr>
          <w:p>
            <w:pPr>
              <w:jc w:val="both"/>
              <w:spacing w:after="0" w:line="240" w:lineRule="auto"/>
            </w:pPr>
            <w:r>
              <w:rPr>
                <w:sz w:val="21"/>
                <w:szCs w:val="21"/>
              </w:rPr>
              <w:t xml:space="preserve">beschreiben</w:t>
            </w:r>
            <w:r/>
          </w:p>
        </w:tc>
        <w:tc>
          <w:tcPr>
            <w:tcW w:w="6939" w:type="dxa"/>
            <w:textDirection w:val="lrTb"/>
            <w:noWrap w:val="false"/>
          </w:tcPr>
          <w:p>
            <w:pPr>
              <w:jc w:val="both"/>
              <w:spacing w:after="0" w:line="240" w:lineRule="auto"/>
            </w:pPr>
            <w:r>
              <w:rPr>
                <w:rFonts w:cs="Helvetica"/>
                <w:sz w:val="20"/>
                <w:szCs w:val="20"/>
              </w:rPr>
              <w:t xml:space="preserve">strukturiert und fachsprachlich angemessen Materialien vorstellen und/oder Sachverhalte darlegen</w:t>
            </w:r>
            <w:r/>
          </w:p>
        </w:tc>
      </w:tr>
      <w:tr>
        <w:trPr/>
        <w:tc>
          <w:tcPr>
            <w:tcW w:w="1843" w:type="dxa"/>
            <w:textDirection w:val="lrTb"/>
            <w:noWrap w:val="false"/>
          </w:tcPr>
          <w:p>
            <w:pPr>
              <w:jc w:val="both"/>
              <w:spacing w:after="0" w:line="240" w:lineRule="auto"/>
              <w:rPr>
                <w:sz w:val="21"/>
                <w:szCs w:val="21"/>
              </w:rPr>
            </w:pPr>
            <w:r>
              <w:rPr>
                <w:sz w:val="21"/>
                <w:szCs w:val="21"/>
              </w:rPr>
              <w:t xml:space="preserve">darstellen</w:t>
            </w:r>
            <w:r/>
          </w:p>
        </w:tc>
        <w:tc>
          <w:tcPr>
            <w:tcW w:w="6939" w:type="dxa"/>
            <w:textDirection w:val="lrTb"/>
            <w:noWrap w:val="false"/>
          </w:tcPr>
          <w:p>
            <w:pPr>
              <w:jc w:val="both"/>
              <w:spacing w:after="0" w:line="240" w:lineRule="auto"/>
              <w:rPr>
                <w:rFonts w:cs="Helvetica"/>
                <w:sz w:val="20"/>
                <w:szCs w:val="20"/>
              </w:rPr>
            </w:pPr>
            <w:r>
              <w:rPr>
                <w:sz w:val="20"/>
                <w:szCs w:val="20"/>
              </w:rPr>
              <w:t xml:space="preserve">Sachverhalte detailliert und fachsprachlich angemessen aufzeigen</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II</w:t>
            </w:r>
            <w:r/>
          </w:p>
        </w:tc>
      </w:tr>
      <w:tr>
        <w:trPr/>
        <w:tc>
          <w:tcPr>
            <w:tcW w:w="1843" w:type="dxa"/>
            <w:textDirection w:val="lrTb"/>
            <w:noWrap w:val="false"/>
          </w:tcPr>
          <w:p>
            <w:pPr>
              <w:jc w:val="both"/>
              <w:spacing w:after="0" w:line="240" w:lineRule="auto"/>
            </w:pPr>
            <w:r>
              <w:t xml:space="preserve">charakterisieren</w:t>
            </w:r>
            <w:r/>
          </w:p>
        </w:tc>
        <w:tc>
          <w:tcPr>
            <w:tcW w:w="6939" w:type="dxa"/>
            <w:textDirection w:val="lrTb"/>
            <w:noWrap w:val="false"/>
          </w:tcPr>
          <w:p>
            <w:pPr>
              <w:jc w:val="both"/>
              <w:spacing w:after="0" w:line="240" w:lineRule="auto"/>
              <w:rPr>
                <w:sz w:val="20"/>
                <w:szCs w:val="20"/>
              </w:rPr>
            </w:pPr>
            <w:r>
              <w:rPr>
                <w:sz w:val="20"/>
                <w:szCs w:val="20"/>
              </w:rPr>
              <w:t xml:space="preserve">Sachverhalte in ihren Eigenarten beschreiben, typische Merkmale kennzeichnen und diese dann gegebenenfalls unter einem oder mehreren bestimmten Gesichtspunkten zusammenführen</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w:t>
            </w:r>
            <w:r>
              <w:rPr>
                <w:b/>
                <w:sz w:val="21"/>
                <w:szCs w:val="21"/>
              </w:rPr>
              <w:t xml:space="preserve">II</w:t>
            </w:r>
            <w:r/>
          </w:p>
        </w:tc>
      </w:tr>
      <w:tr>
        <w:trPr/>
        <w:tc>
          <w:tcPr>
            <w:tcW w:w="1843" w:type="dxa"/>
            <w:textDirection w:val="lrTb"/>
            <w:noWrap w:val="false"/>
          </w:tcPr>
          <w:p>
            <w:pPr>
              <w:jc w:val="both"/>
              <w:spacing w:after="0" w:line="240" w:lineRule="auto"/>
            </w:pPr>
            <w:r>
              <w:rPr>
                <w:sz w:val="21"/>
                <w:szCs w:val="21"/>
              </w:rPr>
              <w:t xml:space="preserve">begründen</w:t>
            </w:r>
            <w:r>
              <w:rPr>
                <w:sz w:val="21"/>
                <w:szCs w:val="21"/>
              </w:rPr>
              <w:t xml:space="preserve"> </w:t>
            </w:r>
            <w:r/>
          </w:p>
        </w:tc>
        <w:tc>
          <w:tcPr>
            <w:tcW w:w="6939" w:type="dxa"/>
            <w:textDirection w:val="lrTb"/>
            <w:noWrap w:val="false"/>
          </w:tcPr>
          <w:p>
            <w:pPr>
              <w:jc w:val="both"/>
              <w:spacing w:after="0" w:line="240" w:lineRule="auto"/>
              <w:rPr>
                <w:sz w:val="20"/>
                <w:szCs w:val="20"/>
              </w:rPr>
            </w:pPr>
            <w:r>
              <w:rPr>
                <w:sz w:val="20"/>
                <w:szCs w:val="20"/>
              </w:rPr>
              <w:t xml:space="preserve">komplexe Grundgedanken durch Argumente stützen und nachvollziehbare Zusammenhänge herstellen</w:t>
            </w:r>
            <w:r/>
          </w:p>
        </w:tc>
      </w:tr>
      <w:tr>
        <w:trPr/>
        <w:tc>
          <w:tcPr>
            <w:tcW w:w="1843" w:type="dxa"/>
            <w:textDirection w:val="lrTb"/>
            <w:noWrap w:val="false"/>
          </w:tcPr>
          <w:p>
            <w:pPr>
              <w:jc w:val="both"/>
              <w:spacing w:after="0" w:line="240" w:lineRule="auto"/>
            </w:pPr>
            <w:r>
              <w:rPr>
                <w:sz w:val="21"/>
                <w:szCs w:val="21"/>
              </w:rPr>
              <w:t xml:space="preserve">erörtern</w:t>
            </w:r>
            <w:r/>
          </w:p>
        </w:tc>
        <w:tc>
          <w:tcPr>
            <w:tcW w:w="6939" w:type="dxa"/>
            <w:textDirection w:val="lrTb"/>
            <w:noWrap w:val="false"/>
          </w:tcPr>
          <w:p>
            <w:pPr>
              <w:jc w:val="both"/>
              <w:spacing w:after="0" w:line="240" w:lineRule="auto"/>
              <w:rPr>
                <w:sz w:val="20"/>
                <w:szCs w:val="20"/>
              </w:rPr>
            </w:pPr>
            <w:r>
              <w:rPr>
                <w:sz w:val="20"/>
                <w:szCs w:val="20"/>
              </w:rPr>
              <w:t xml:space="preserve">zu einer vorgegebenen Problemstellung eine reflektierte, abwägende Auseinandersetzung führen und zu einem begründeten Sach- und/oder Werturteil kommen</w:t>
            </w:r>
            <w:r/>
          </w:p>
        </w:tc>
      </w:tr>
      <w:tr>
        <w:trPr/>
        <w:tc>
          <w:tcPr>
            <w:tcW w:w="1843" w:type="dxa"/>
            <w:textDirection w:val="lrTb"/>
            <w:noWrap w:val="false"/>
          </w:tcPr>
          <w:p>
            <w:pPr>
              <w:jc w:val="both"/>
              <w:spacing w:after="0" w:line="240" w:lineRule="auto"/>
            </w:pPr>
            <w:r>
              <w:rPr>
                <w:sz w:val="21"/>
                <w:szCs w:val="21"/>
              </w:rPr>
              <w:t xml:space="preserve">Stellung nehmen</w:t>
            </w:r>
            <w:r>
              <w:rPr>
                <w:sz w:val="21"/>
                <w:szCs w:val="21"/>
              </w:rPr>
              <w:t xml:space="preserve"> </w:t>
            </w:r>
            <w:r/>
          </w:p>
        </w:tc>
        <w:tc>
          <w:tcPr>
            <w:tcW w:w="6939" w:type="dxa"/>
            <w:textDirection w:val="lrTb"/>
            <w:noWrap w:val="false"/>
          </w:tcPr>
          <w:p>
            <w:pPr>
              <w:jc w:val="both"/>
              <w:spacing w:after="0" w:line="240" w:lineRule="auto"/>
              <w:rPr>
                <w:sz w:val="20"/>
                <w:szCs w:val="20"/>
              </w:rPr>
            </w:pPr>
            <w:r>
              <w:rPr>
                <w:sz w:val="20"/>
                <w:szCs w:val="20"/>
              </w:rPr>
              <w:t xml:space="preserve">Beurteilung mit zusätzlicher Reflexion individueller, sachbezogener und/oder politischer Wertmaßstäbe, die Pluralität gewährleisten [sic] und zu einem begründeten eigenen Werturteil führt</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w:t>
      </w:r>
      <w:r>
        <w:rPr>
          <w:sz w:val="18"/>
          <w:szCs w:val="18"/>
        </w:rPr>
        <w:t xml:space="preserve">7</w:t>
      </w:r>
      <w:r>
        <w:rPr>
          <w:sz w:val="18"/>
          <w:szCs w:val="18"/>
        </w:rPr>
        <w:t xml:space="preserve">). Kerncurriculum für das </w:t>
      </w:r>
      <w:r>
        <w:rPr>
          <w:sz w:val="18"/>
          <w:szCs w:val="18"/>
        </w:rPr>
        <w:t xml:space="preserve">Gymnasium – gymnasiale Oberstufe</w:t>
      </w:r>
      <w:r>
        <w:rPr>
          <w:sz w:val="18"/>
          <w:szCs w:val="18"/>
        </w:rPr>
        <w:t xml:space="preserve">.</w:t>
      </w:r>
      <w:r>
        <w:rPr>
          <w:sz w:val="18"/>
          <w:szCs w:val="18"/>
        </w:rPr>
        <w:t xml:space="preserve"> Erdkunde. S. 32</w:t>
      </w:r>
      <w:r>
        <w:rPr>
          <w:sz w:val="18"/>
          <w:szCs w:val="18"/>
        </w:rPr>
        <w:t xml:space="preserve">-3</w:t>
      </w:r>
      <w:r>
        <w:rPr>
          <w:sz w:val="18"/>
          <w:szCs w:val="18"/>
        </w:rPr>
        <w:t xml:space="preserve">3</w:t>
      </w:r>
      <w:r>
        <w:rPr>
          <w:sz w:val="18"/>
          <w:szCs w:val="18"/>
        </w:rPr>
        <w:t xml:space="preserve">. </w:t>
      </w:r>
      <w:r>
        <w:rPr>
          <w:sz w:val="18"/>
          <w:szCs w:val="18"/>
        </w:rPr>
      </w:r>
      <w:r>
        <w:rPr>
          <w:sz w:val="18"/>
          <w:szCs w:val="18"/>
        </w:rPr>
        <w:t xml:space="preserve">Zugriff am 26.02.2022 </w:t>
      </w:r>
      <w:r>
        <w:rPr>
          <w:rFonts w:ascii="Calibri" w:hAnsi="Calibri" w:cs="Calibri" w:eastAsia="Calibri"/>
          <w:color w:val="000000"/>
          <w:sz w:val="18"/>
        </w:rPr>
        <w:t xml:space="preserve">https://cuvo.nibis.de/cuvo.php?p=download&amp;upload=124</w:t>
      </w:r>
      <w:r/>
      <w:r>
        <w:rPr>
          <w:sz w:val="18"/>
          <w:szCs w:val="18"/>
        </w:rPr>
      </w:r>
      <w:r/>
    </w:p>
    <w:p>
      <w:pPr>
        <w:pStyle w:val="840"/>
        <w:contextualSpacing w:val="0"/>
        <w:ind w:left="567"/>
        <w:jc w:val="both"/>
        <w:spacing w:before="12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eingesetzt werden können.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beschreiben</w:t>
      </w:r>
      <w:r>
        <w:rPr>
          <w:b/>
          <w:sz w:val="23"/>
          <w:szCs w:val="23"/>
        </w:rPr>
        <w:t xml:space="preserve">:</w:t>
      </w:r>
      <w:r/>
    </w:p>
    <w:p>
      <w:pPr>
        <w:pStyle w:val="840"/>
        <w:numPr>
          <w:ilvl w:val="0"/>
          <w:numId w:val="4"/>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Die Karte zeigt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Auf der Karte ist zu erkennen, dass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 Tabelle listet … auf.</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 Region zeichnet sich durch … aus.</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 Region liegt nördlich/</w:t>
      </w:r>
      <w:r>
        <w:rPr>
          <w:rFonts w:ascii="Segoe Print" w:hAnsi="Segoe Print"/>
          <w:sz w:val="20"/>
          <w:szCs w:val="23"/>
        </w:rPr>
        <w:t xml:space="preserve">südlich/östlich/westlich von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Eine Besonderheit </w:t>
      </w:r>
      <w:r>
        <w:rPr>
          <w:rFonts w:ascii="Segoe Print" w:hAnsi="Segoe Print"/>
          <w:sz w:val="20"/>
          <w:szCs w:val="23"/>
        </w:rPr>
        <w:t xml:space="preserve">der/des XY </w:t>
      </w:r>
      <w:r>
        <w:rPr>
          <w:rFonts w:ascii="Segoe Print" w:hAnsi="Segoe Print"/>
          <w:sz w:val="20"/>
          <w:szCs w:val="23"/>
        </w:rPr>
        <w:t xml:space="preserve">stellt … dar.</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 den wesentlichen Merkmalen der/des XY gehört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Auf der Abbildung sieht man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darstellen</w:t>
      </w:r>
      <w:r>
        <w:rPr>
          <w:b/>
          <w:sz w:val="23"/>
          <w:szCs w:val="23"/>
        </w:rPr>
        <w:t xml:space="preserve">:</w:t>
      </w:r>
      <w:r/>
    </w:p>
    <w:p>
      <w:pPr>
        <w:pStyle w:val="840"/>
        <w:numPr>
          <w:ilvl w:val="0"/>
          <w:numId w:val="4"/>
        </w:numPr>
        <w:contextualSpacing w:val="0"/>
        <w:jc w:val="both"/>
        <w:spacing w:before="120" w:after="0" w:line="240" w:lineRule="auto"/>
        <w:rPr>
          <w:sz w:val="23"/>
          <w:szCs w:val="23"/>
        </w:rPr>
      </w:pPr>
      <w:r>
        <w:rPr>
          <w:rFonts w:ascii="Segoe Print" w:hAnsi="Segoe Print"/>
          <w:sz w:val="20"/>
          <w:szCs w:val="23"/>
        </w:rPr>
        <w:t xml:space="preserve">Die Abbildung zeigt den Zusammenhang zwischen X und Y auf.</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 Karte illustriert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Die Tabelle veranschaulicht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Kernaussage</w:t>
      </w:r>
      <w:r>
        <w:rPr>
          <w:rFonts w:ascii="Segoe Print" w:hAnsi="Segoe Print"/>
          <w:sz w:val="20"/>
          <w:szCs w:val="23"/>
        </w:rPr>
        <w:t xml:space="preserve"> </w:t>
      </w:r>
      <w:r>
        <w:rPr>
          <w:rFonts w:ascii="Segoe Print" w:hAnsi="Segoe Print"/>
          <w:sz w:val="20"/>
          <w:szCs w:val="23"/>
        </w:rPr>
        <w:t xml:space="preserve">des Schaubildes ist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Das Modell beschäftigt sich mit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Zu den wichtigsten Aussagen gehört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In diesem Zusammenhang ist insbesondere … von Bedeutung.</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Folgende Faktoren spielen eine wichtige Rolle: Zum einen …, zum anderen.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charakterisieren</w:t>
      </w:r>
      <w:r>
        <w:rPr>
          <w:b/>
          <w:sz w:val="23"/>
          <w:szCs w:val="23"/>
        </w:rPr>
        <w:t xml:space="preserve">:</w:t>
      </w:r>
      <w:r/>
    </w:p>
    <w:p>
      <w:pPr>
        <w:pStyle w:val="840"/>
        <w:numPr>
          <w:ilvl w:val="0"/>
          <w:numId w:val="4"/>
        </w:numPr>
        <w:contextualSpacing w:val="0"/>
        <w:jc w:val="both"/>
        <w:spacing w:before="120" w:after="0" w:line="240" w:lineRule="auto"/>
        <w:rPr>
          <w:sz w:val="23"/>
          <w:szCs w:val="23"/>
        </w:rPr>
      </w:pPr>
      <w:r>
        <w:rPr>
          <w:rFonts w:ascii="Segoe Print" w:hAnsi="Segoe Print"/>
          <w:sz w:val="20"/>
          <w:szCs w:val="23"/>
        </w:rPr>
        <w:t xml:space="preserve">XY zeichnet sich aus durch …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XY zeichnet sich durch … aus.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Eine besondere Eigenschaft von … besteht in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Eine besondere Eigenschaft von … stellt … dar.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X und Y ist gemeinsam, dass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sowohl X als auch Y</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Im Gegensatz zu X ist Y …</w:t>
      </w:r>
      <w:r/>
    </w:p>
    <w:p>
      <w:pPr>
        <w:pStyle w:val="840"/>
        <w:numPr>
          <w:ilvl w:val="0"/>
          <w:numId w:val="4"/>
        </w:numPr>
        <w:contextualSpacing w:val="0"/>
        <w:ind w:left="1281" w:hanging="357"/>
        <w:jc w:val="both"/>
        <w:spacing w:after="0" w:line="240" w:lineRule="auto"/>
        <w:rPr>
          <w:sz w:val="23"/>
          <w:szCs w:val="23"/>
        </w:rPr>
      </w:pPr>
      <w:r>
        <w:rPr>
          <w:rFonts w:ascii="Segoe Print" w:hAnsi="Segoe Print"/>
          <w:sz w:val="20"/>
          <w:szCs w:val="23"/>
        </w:rPr>
        <w:t xml:space="preserve">Anders als X ist Y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begründen</w:t>
      </w:r>
      <w:r>
        <w:rPr>
          <w:b/>
          <w:sz w:val="23"/>
          <w:szCs w:val="23"/>
        </w:rPr>
        <w:t xml:space="preserve">:</w:t>
      </w:r>
      <w:r/>
    </w:p>
    <w:p>
      <w:pPr>
        <w:pStyle w:val="840"/>
        <w:numPr>
          <w:ilvl w:val="0"/>
          <w:numId w:val="4"/>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daher/deshalb/darum</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weil/da</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denn</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somit/infolgedessen</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aus diesem Grund</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XY ist ein Beispiel für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Ein Beispiel für XY stellt … dar.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beispielsweise</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Dies illustriert zum Beispiel/etwa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Dies verdeutlicht unter anderem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Daraus folgt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Dies hat … zur Folge.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w:t>
      </w:r>
      <w:r>
        <w:rPr>
          <w:b/>
          <w:sz w:val="23"/>
          <w:szCs w:val="23"/>
        </w:rPr>
        <w:t xml:space="preserve"> Operator </w:t>
      </w:r>
      <w:r>
        <w:rPr>
          <w:b/>
          <w:i/>
          <w:sz w:val="23"/>
          <w:szCs w:val="23"/>
        </w:rPr>
        <w:t xml:space="preserve">erörtern</w:t>
      </w:r>
      <w:r>
        <w:rPr>
          <w:b/>
          <w:sz w:val="23"/>
          <w:szCs w:val="23"/>
        </w:rPr>
        <w:t xml:space="preserve">:</w:t>
      </w:r>
      <w:r/>
    </w:p>
    <w:p>
      <w:pPr>
        <w:pStyle w:val="840"/>
        <w:numPr>
          <w:ilvl w:val="0"/>
          <w:numId w:val="4"/>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Einerseits …, andererseits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Zum einen …, zum anderen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Dafür/dagegen spricht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Hierbei sind folgende Punkte relevant: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In diesem Zusammenhang ist insbesondere … wichtig.</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 den Vorteilen/Nachteilen gehört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 den Argumenten für/gegen … gehört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Allerdings/jedoch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Demgegenüber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Darüber hinaus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Zudem/außerdem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Daraus folgt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Dies bedeutet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Eine Folge ist …</w:t>
      </w:r>
      <w:r/>
    </w:p>
    <w:p>
      <w:pPr>
        <w:pStyle w:val="840"/>
        <w:contextualSpacing w:val="0"/>
        <w:ind w:left="567"/>
        <w:jc w:val="both"/>
        <w:spacing w:before="120" w:after="0" w:line="240" w:lineRule="auto"/>
        <w:rPr>
          <w:b/>
          <w:sz w:val="23"/>
          <w:szCs w:val="23"/>
        </w:rPr>
      </w:pPr>
      <w:r>
        <w:rPr>
          <w:b/>
          <w:sz w:val="23"/>
          <w:szCs w:val="23"/>
        </w:rPr>
        <w:t xml:space="preserve">Sprachliche Mittel für </w:t>
      </w:r>
      <w:r>
        <w:rPr>
          <w:b/>
          <w:sz w:val="23"/>
          <w:szCs w:val="23"/>
        </w:rPr>
        <w:t xml:space="preserve">den </w:t>
      </w:r>
      <w:r>
        <w:rPr>
          <w:b/>
          <w:sz w:val="23"/>
          <w:szCs w:val="23"/>
        </w:rPr>
        <w:t xml:space="preserve">Operator </w:t>
      </w:r>
      <w:r>
        <w:rPr>
          <w:b/>
          <w:i/>
          <w:sz w:val="23"/>
          <w:szCs w:val="23"/>
        </w:rPr>
        <w:t xml:space="preserve">Stellung nehmen</w:t>
      </w:r>
      <w:r>
        <w:rPr>
          <w:b/>
          <w:sz w:val="23"/>
          <w:szCs w:val="23"/>
        </w:rPr>
        <w:t xml:space="preserve">:</w:t>
      </w:r>
      <w:r/>
    </w:p>
    <w:p>
      <w:pPr>
        <w:pStyle w:val="840"/>
        <w:numPr>
          <w:ilvl w:val="0"/>
          <w:numId w:val="4"/>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daher/deshalb/darum</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weil/da</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denn</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somit/infolgedessen</w:t>
      </w:r>
      <w:r>
        <w:rPr>
          <w:rFonts w:ascii="Segoe Print" w:hAnsi="Segoe Print"/>
          <w:sz w:val="20"/>
          <w:szCs w:val="23"/>
        </w:rPr>
        <w:t xml:space="preserve">/demzufolge</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aus diesem Grund</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obwohl/auch wenn</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dennoch/trotzdem</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Einerseits …, andererseits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Zum einen …, zum anderen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Dafür/dagegen spricht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 den Vorteilen/Nachteilen gehört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Zu den Argumenten für/gegen … gehört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Während X … ist, ist Y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Im Hinblick auf … lässt sich feststellen, dass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Daraus folgt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Dies hat … zur Folge.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Aus diesem Grund bin ich der Ansicht, dass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Nach Abwägung sämtlicher Fakten komme ich zu dem Schluss, dass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Daher/deshalb/darum bin ich der Meinung, dass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Meiner Ansicht nach …</w:t>
      </w:r>
      <w:r/>
    </w:p>
    <w:p>
      <w:pPr>
        <w:pStyle w:val="840"/>
        <w:numPr>
          <w:ilvl w:val="0"/>
          <w:numId w:val="4"/>
        </w:numPr>
        <w:contextualSpacing w:val="0"/>
        <w:ind w:left="1281" w:hanging="357"/>
        <w:jc w:val="both"/>
        <w:spacing w:after="0" w:line="240" w:lineRule="auto"/>
        <w:rPr>
          <w:rFonts w:ascii="Segoe Print" w:hAnsi="Segoe Print"/>
          <w:sz w:val="20"/>
          <w:szCs w:val="23"/>
        </w:rPr>
      </w:pPr>
      <w:r>
        <w:rPr>
          <w:rFonts w:ascii="Segoe Print" w:hAnsi="Segoe Print"/>
          <w:sz w:val="20"/>
          <w:szCs w:val="23"/>
        </w:rPr>
        <w:t xml:space="preserve">Insgesamt komme ich zu dem Ergebnis, dass …</w:t>
      </w:r>
      <w:r/>
    </w:p>
    <w:p>
      <w:pPr>
        <w:pStyle w:val="840"/>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40"/>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40"/>
        <w:numPr>
          <w:ilvl w:val="0"/>
          <w:numId w:val="5"/>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840"/>
        <w:numPr>
          <w:ilvl w:val="0"/>
          <w:numId w:val="6"/>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gemeinsames Verfassen eines Textes im angeleiteten Unterrichtsgespräch</w:t>
      </w:r>
      <w:r>
        <w:rPr>
          <w:rFonts w:ascii="Segoe Print" w:hAnsi="Segoe Print"/>
          <w:sz w:val="20"/>
          <w:szCs w:val="23"/>
        </w:rPr>
        <w:t xml:space="preserve"> </w:t>
      </w:r>
      <w:r/>
    </w:p>
    <w:p>
      <w:pPr>
        <w:pStyle w:val="840"/>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Extraktion bestimmter sprachlicher Mittel aus fertigem Text</w:t>
      </w:r>
      <w:r>
        <w:rPr>
          <w:rFonts w:ascii="Segoe Print" w:hAnsi="Segoe Print"/>
          <w:sz w:val="20"/>
          <w:szCs w:val="23"/>
        </w:rPr>
        <w:t xml:space="preserve"> </w:t>
      </w:r>
      <w:r>
        <w:rPr>
          <w:rFonts w:ascii="Segoe Print" w:hAnsi="Segoe Print"/>
          <w:sz w:val="20"/>
          <w:szCs w:val="23"/>
        </w:rPr>
        <w:t xml:space="preserve">+ Sicherung im Sprachlernheft/auf Lernplakat</w:t>
      </w:r>
      <w:r/>
    </w:p>
    <w:p>
      <w:pPr>
        <w:pStyle w:val="840"/>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Funktion bestimmter sprachlicher Mittel analysieren und diskutieren (lassen)</w:t>
      </w:r>
      <w:r/>
    </w:p>
    <w:p>
      <w:pPr>
        <w:pStyle w:val="840"/>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Formulierungsalternativen besprechen </w:t>
      </w:r>
      <w:r/>
    </w:p>
    <w:p>
      <w:pPr>
        <w:pStyle w:val="840"/>
        <w:numPr>
          <w:ilvl w:val="0"/>
          <w:numId w:val="5"/>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840"/>
        <w:numPr>
          <w:ilvl w:val="0"/>
          <w:numId w:val="6"/>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gestufte Texterarbeitung</w:t>
      </w:r>
      <w:r/>
    </w:p>
    <w:p>
      <w:pPr>
        <w:pStyle w:val="840"/>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Textproduktion nach Vorgaben (mithilfe bestimmter sprachlicher Mittel)</w:t>
      </w:r>
      <w:r/>
    </w:p>
    <w:p>
      <w:pPr>
        <w:pStyle w:val="840"/>
        <w:numPr>
          <w:ilvl w:val="0"/>
          <w:numId w:val="6"/>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Schüler/innen prüfen eigene Texte auf Vorhandensein bestimmter sprachlicher Mittel und beschreiben deren Funktion im Text</w:t>
      </w:r>
      <w:r/>
    </w:p>
    <w:p>
      <w:pPr>
        <w:pStyle w:val="840"/>
        <w:numPr>
          <w:ilvl w:val="0"/>
          <w:numId w:val="2"/>
        </w:numPr>
        <w:contextualSpacing w:val="0"/>
        <w:ind w:left="284" w:hanging="284"/>
        <w:jc w:val="both"/>
        <w:spacing w:before="12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161925</wp:posOffset>
                </wp:positionH>
                <wp:positionV relativeFrom="paragraph">
                  <wp:posOffset>998855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12.8pt;mso-position-horizontal:absolute;mso-position-vertical-relative:text;margin-top:78.6pt;mso-position-vertical:absolute;width:220.4pt;height:144.5pt;" wrapcoords="-680 -1036 -680 99620 100023 99620 100023 -1036 -680 -1036" strokecolor="#7F7F7F" strokeweight="0.75pt">
                <v:path textboxrect="0,0,0,0"/>
                <v:imagedata r:id="rId15"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3107690</wp:posOffset>
                </wp:positionH>
                <wp:positionV relativeFrom="paragraph">
                  <wp:posOffset>998855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244.7pt;mso-position-horizontal:absolute;mso-position-vertical-relative:text;margin-top:78.6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Courier New">
    <w:panose1 w:val="02070309020205020404"/>
  </w:font>
  <w:font w:name="Symbol">
    <w:panose1 w:val="05010000000000000000"/>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3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37"/>
        <w:ind w:left="142" w:right="0" w:hanging="142"/>
      </w:pPr>
      <w:r>
        <w:rPr>
          <w:rStyle w:val="839"/>
        </w:rPr>
        <w:footnoteRef/>
      </w:r>
      <w:r>
        <w:t xml:space="preserve"> </w:t>
      </w:r>
      <w:r/>
      <w:r>
        <w:t xml:space="preserve">Meyer, Ch., Häusler, M., Eberth, A., Reblin, S. &amp; von Roux, Y. (2017): Diercke. Erdkunde. Einführungsphase. </w:t>
      </w:r>
      <w:r>
        <w:t xml:space="preserve">Niedersachsen. Braunschweig: Westermann, S. 36</w:t>
      </w:r>
      <w:r/>
      <w:r/>
      <w:r>
        <w:t xml:space="preserve"> (Thema: </w:t>
      </w:r>
      <w:r>
        <w:t xml:space="preserve">Herausforderungen für eine nachhaltige Raumnutzung – Das Dust Bowl-Syndrom</w:t>
      </w:r>
      <w:r>
        <w:t xml:space="preserve">).</w:t>
      </w:r>
      <w:r/>
    </w:p>
  </w:footnote>
  <w:footnote w:id="3">
    <w:p>
      <w:pPr>
        <w:pStyle w:val="837"/>
      </w:pPr>
      <w:r>
        <w:rPr>
          <w:rStyle w:val="839"/>
        </w:rPr>
        <w:footnoteRef/>
      </w:r>
      <w:r>
        <w:t xml:space="preserve"> </w:t>
      </w:r>
      <w:r>
        <w:t xml:space="preserve">Ebd., S. 28 (Thema: Herausforderungen für eine nachhaltige Raumnutzung – Vulnerabilität und Resilienz).</w:t>
      </w:r>
      <w:r/>
    </w:p>
  </w:footnote>
  <w:footnote w:id="4">
    <w:p>
      <w:pPr>
        <w:pStyle w:val="837"/>
      </w:pPr>
      <w:r>
        <w:rPr>
          <w:rStyle w:val="839"/>
        </w:rPr>
        <w:footnoteRef/>
      </w:r>
      <w:r>
        <w:t xml:space="preserve"> </w:t>
      </w:r>
      <w:r>
        <w:t xml:space="preserve">Ebd., S. 108 (Thema: Geographisches Basiswissen – Lebensgrundlage Wasser).</w:t>
      </w:r>
      <w:r/>
    </w:p>
  </w:footnote>
  <w:footnote w:id="5">
    <w:p>
      <w:pPr>
        <w:pStyle w:val="837"/>
      </w:pPr>
      <w:r>
        <w:rPr>
          <w:rStyle w:val="839"/>
        </w:rPr>
        <w:footnoteRef/>
      </w:r>
      <w:r>
        <w:t xml:space="preserve"> </w:t>
      </w:r>
      <w:r>
        <w:t xml:space="preserve">Ebd., S. 72 (Thema: Maßnahmen zur nachhaltigen Entwicklung von Räumen – Bodenschonende Landwirtschaft).</w:t>
      </w:r>
      <w:r/>
    </w:p>
  </w:footnote>
  <w:footnote w:id="6">
    <w:p>
      <w:pPr>
        <w:pStyle w:val="837"/>
      </w:pPr>
      <w:r>
        <w:rPr>
          <w:rStyle w:val="839"/>
        </w:rPr>
        <w:footnoteRef/>
      </w:r>
      <w:r>
        <w:t xml:space="preserve"> </w:t>
      </w:r>
      <w:r>
        <w:t xml:space="preserve">Ebd., S. 28 (Thema: Herausforderungen für eine nachhaltige Raumnutzung – Vulnerabilität und Resilienz). </w:t>
      </w:r>
      <w:r/>
    </w:p>
  </w:footnote>
  <w:footnote w:id="7">
    <w:p>
      <w:pPr>
        <w:pStyle w:val="837"/>
      </w:pPr>
      <w:r>
        <w:rPr>
          <w:rStyle w:val="839"/>
        </w:rPr>
        <w:footnoteRef/>
      </w:r>
      <w:r>
        <w:t xml:space="preserve"> </w:t>
      </w:r>
      <w:r>
        <w:t xml:space="preserve">Ebd., S. 110 (Thema: Geographisches Basiswissen – Bodengeographische Grundlagen).</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3"/>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33"/>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33"/>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3">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4">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29"/>
    <w:next w:val="829"/>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30"/>
    <w:link w:val="11"/>
    <w:uiPriority w:val="9"/>
    <w:rPr>
      <w:rFonts w:ascii="Arial" w:hAnsi="Arial" w:cs="Arial" w:eastAsia="Arial"/>
      <w:sz w:val="40"/>
      <w:szCs w:val="40"/>
    </w:rPr>
  </w:style>
  <w:style w:type="paragraph" w:styleId="13">
    <w:name w:val="Heading 2"/>
    <w:basedOn w:val="829"/>
    <w:next w:val="829"/>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30"/>
    <w:link w:val="13"/>
    <w:uiPriority w:val="9"/>
    <w:rPr>
      <w:rFonts w:ascii="Arial" w:hAnsi="Arial" w:cs="Arial" w:eastAsia="Arial"/>
      <w:sz w:val="34"/>
    </w:rPr>
  </w:style>
  <w:style w:type="paragraph" w:styleId="15">
    <w:name w:val="Heading 3"/>
    <w:basedOn w:val="829"/>
    <w:next w:val="829"/>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30"/>
    <w:link w:val="15"/>
    <w:uiPriority w:val="9"/>
    <w:rPr>
      <w:rFonts w:ascii="Arial" w:hAnsi="Arial" w:cs="Arial" w:eastAsia="Arial"/>
      <w:sz w:val="30"/>
      <w:szCs w:val="30"/>
    </w:rPr>
  </w:style>
  <w:style w:type="paragraph" w:styleId="17">
    <w:name w:val="Heading 4"/>
    <w:basedOn w:val="829"/>
    <w:next w:val="829"/>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30"/>
    <w:link w:val="17"/>
    <w:uiPriority w:val="9"/>
    <w:rPr>
      <w:rFonts w:ascii="Arial" w:hAnsi="Arial" w:cs="Arial" w:eastAsia="Arial"/>
      <w:b/>
      <w:bCs/>
      <w:sz w:val="26"/>
      <w:szCs w:val="26"/>
    </w:rPr>
  </w:style>
  <w:style w:type="paragraph" w:styleId="19">
    <w:name w:val="Heading 5"/>
    <w:basedOn w:val="829"/>
    <w:next w:val="829"/>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30"/>
    <w:link w:val="19"/>
    <w:uiPriority w:val="9"/>
    <w:rPr>
      <w:rFonts w:ascii="Arial" w:hAnsi="Arial" w:cs="Arial" w:eastAsia="Arial"/>
      <w:b/>
      <w:bCs/>
      <w:sz w:val="24"/>
      <w:szCs w:val="24"/>
    </w:rPr>
  </w:style>
  <w:style w:type="paragraph" w:styleId="21">
    <w:name w:val="Heading 6"/>
    <w:basedOn w:val="829"/>
    <w:next w:val="829"/>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30"/>
    <w:link w:val="21"/>
    <w:uiPriority w:val="9"/>
    <w:rPr>
      <w:rFonts w:ascii="Arial" w:hAnsi="Arial" w:cs="Arial" w:eastAsia="Arial"/>
      <w:b/>
      <w:bCs/>
      <w:sz w:val="22"/>
      <w:szCs w:val="22"/>
    </w:rPr>
  </w:style>
  <w:style w:type="paragraph" w:styleId="23">
    <w:name w:val="Heading 7"/>
    <w:basedOn w:val="829"/>
    <w:next w:val="829"/>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30"/>
    <w:link w:val="23"/>
    <w:uiPriority w:val="9"/>
    <w:rPr>
      <w:rFonts w:ascii="Arial" w:hAnsi="Arial" w:cs="Arial" w:eastAsia="Arial"/>
      <w:b/>
      <w:bCs/>
      <w:i/>
      <w:iCs/>
      <w:sz w:val="22"/>
      <w:szCs w:val="22"/>
    </w:rPr>
  </w:style>
  <w:style w:type="paragraph" w:styleId="25">
    <w:name w:val="Heading 8"/>
    <w:basedOn w:val="829"/>
    <w:next w:val="829"/>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30"/>
    <w:link w:val="25"/>
    <w:uiPriority w:val="9"/>
    <w:rPr>
      <w:rFonts w:ascii="Arial" w:hAnsi="Arial" w:cs="Arial" w:eastAsia="Arial"/>
      <w:i/>
      <w:iCs/>
      <w:sz w:val="22"/>
      <w:szCs w:val="22"/>
    </w:rPr>
  </w:style>
  <w:style w:type="paragraph" w:styleId="27">
    <w:name w:val="Heading 9"/>
    <w:basedOn w:val="829"/>
    <w:next w:val="829"/>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30"/>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29"/>
    <w:next w:val="829"/>
    <w:link w:val="33"/>
    <w:uiPriority w:val="10"/>
    <w:qFormat/>
    <w:pPr>
      <w:contextualSpacing/>
      <w:spacing w:before="300" w:after="200"/>
    </w:pPr>
    <w:rPr>
      <w:sz w:val="48"/>
      <w:szCs w:val="48"/>
    </w:rPr>
  </w:style>
  <w:style w:type="character" w:styleId="33">
    <w:name w:val="Title Char"/>
    <w:basedOn w:val="830"/>
    <w:link w:val="32"/>
    <w:uiPriority w:val="10"/>
    <w:rPr>
      <w:sz w:val="48"/>
      <w:szCs w:val="48"/>
    </w:rPr>
  </w:style>
  <w:style w:type="paragraph" w:styleId="34">
    <w:name w:val="Subtitle"/>
    <w:basedOn w:val="829"/>
    <w:next w:val="829"/>
    <w:link w:val="35"/>
    <w:uiPriority w:val="11"/>
    <w:qFormat/>
    <w:pPr>
      <w:spacing w:before="200" w:after="200"/>
    </w:pPr>
    <w:rPr>
      <w:sz w:val="24"/>
      <w:szCs w:val="24"/>
    </w:rPr>
  </w:style>
  <w:style w:type="character" w:styleId="35">
    <w:name w:val="Subtitle Char"/>
    <w:basedOn w:val="830"/>
    <w:link w:val="34"/>
    <w:uiPriority w:val="11"/>
    <w:rPr>
      <w:sz w:val="24"/>
      <w:szCs w:val="24"/>
    </w:rPr>
  </w:style>
  <w:style w:type="paragraph" w:styleId="36">
    <w:name w:val="Quote"/>
    <w:basedOn w:val="829"/>
    <w:next w:val="829"/>
    <w:link w:val="37"/>
    <w:uiPriority w:val="29"/>
    <w:qFormat/>
    <w:pPr>
      <w:ind w:left="720" w:right="720"/>
    </w:pPr>
    <w:rPr>
      <w:i/>
    </w:rPr>
  </w:style>
  <w:style w:type="character" w:styleId="37">
    <w:name w:val="Quote Char"/>
    <w:link w:val="36"/>
    <w:uiPriority w:val="29"/>
    <w:rPr>
      <w:i/>
    </w:rPr>
  </w:style>
  <w:style w:type="paragraph" w:styleId="38">
    <w:name w:val="Intense Quote"/>
    <w:basedOn w:val="829"/>
    <w:next w:val="829"/>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30"/>
    <w:link w:val="833"/>
    <w:uiPriority w:val="99"/>
  </w:style>
  <w:style w:type="character" w:styleId="43">
    <w:name w:val="Footer Char"/>
    <w:basedOn w:val="830"/>
    <w:link w:val="835"/>
    <w:uiPriority w:val="99"/>
  </w:style>
  <w:style w:type="paragraph" w:styleId="44">
    <w:name w:val="Caption"/>
    <w:basedOn w:val="829"/>
    <w:next w:val="829"/>
    <w:uiPriority w:val="35"/>
    <w:semiHidden/>
    <w:unhideWhenUsed/>
    <w:qFormat/>
    <w:pPr>
      <w:spacing w:line="276" w:lineRule="auto"/>
    </w:pPr>
    <w:rPr>
      <w:b/>
      <w:bCs/>
      <w:color w:val="4F81BD" w:themeColor="accent1"/>
      <w:sz w:val="18"/>
      <w:szCs w:val="18"/>
    </w:rPr>
  </w:style>
  <w:style w:type="character" w:styleId="45">
    <w:name w:val="Caption Char"/>
    <w:basedOn w:val="44"/>
    <w:link w:val="835"/>
    <w:uiPriority w:val="99"/>
  </w:style>
  <w:style w:type="table" w:styleId="47">
    <w:name w:val="Table Grid Light"/>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37"/>
    <w:uiPriority w:val="99"/>
    <w:rPr>
      <w:sz w:val="18"/>
    </w:rPr>
  </w:style>
  <w:style w:type="paragraph" w:styleId="176">
    <w:name w:val="endnote text"/>
    <w:basedOn w:val="829"/>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30"/>
    <w:uiPriority w:val="99"/>
    <w:semiHidden/>
    <w:unhideWhenUsed/>
    <w:rPr>
      <w:vertAlign w:val="superscript"/>
    </w:rPr>
  </w:style>
  <w:style w:type="paragraph" w:styleId="179">
    <w:name w:val="toc 1"/>
    <w:basedOn w:val="829"/>
    <w:next w:val="829"/>
    <w:uiPriority w:val="39"/>
    <w:unhideWhenUsed/>
    <w:pPr>
      <w:ind w:left="0" w:right="0" w:firstLine="0"/>
      <w:spacing w:after="57"/>
    </w:pPr>
  </w:style>
  <w:style w:type="paragraph" w:styleId="180">
    <w:name w:val="toc 2"/>
    <w:basedOn w:val="829"/>
    <w:next w:val="829"/>
    <w:uiPriority w:val="39"/>
    <w:unhideWhenUsed/>
    <w:pPr>
      <w:ind w:left="283" w:right="0" w:firstLine="0"/>
      <w:spacing w:after="57"/>
    </w:pPr>
  </w:style>
  <w:style w:type="paragraph" w:styleId="181">
    <w:name w:val="toc 3"/>
    <w:basedOn w:val="829"/>
    <w:next w:val="829"/>
    <w:uiPriority w:val="39"/>
    <w:unhideWhenUsed/>
    <w:pPr>
      <w:ind w:left="567" w:right="0" w:firstLine="0"/>
      <w:spacing w:after="57"/>
    </w:pPr>
  </w:style>
  <w:style w:type="paragraph" w:styleId="182">
    <w:name w:val="toc 4"/>
    <w:basedOn w:val="829"/>
    <w:next w:val="829"/>
    <w:uiPriority w:val="39"/>
    <w:unhideWhenUsed/>
    <w:pPr>
      <w:ind w:left="850" w:right="0" w:firstLine="0"/>
      <w:spacing w:after="57"/>
    </w:pPr>
  </w:style>
  <w:style w:type="paragraph" w:styleId="183">
    <w:name w:val="toc 5"/>
    <w:basedOn w:val="829"/>
    <w:next w:val="829"/>
    <w:uiPriority w:val="39"/>
    <w:unhideWhenUsed/>
    <w:pPr>
      <w:ind w:left="1134" w:right="0" w:firstLine="0"/>
      <w:spacing w:after="57"/>
    </w:pPr>
  </w:style>
  <w:style w:type="paragraph" w:styleId="184">
    <w:name w:val="toc 6"/>
    <w:basedOn w:val="829"/>
    <w:next w:val="829"/>
    <w:uiPriority w:val="39"/>
    <w:unhideWhenUsed/>
    <w:pPr>
      <w:ind w:left="1417" w:right="0" w:firstLine="0"/>
      <w:spacing w:after="57"/>
    </w:pPr>
  </w:style>
  <w:style w:type="paragraph" w:styleId="185">
    <w:name w:val="toc 7"/>
    <w:basedOn w:val="829"/>
    <w:next w:val="829"/>
    <w:uiPriority w:val="39"/>
    <w:unhideWhenUsed/>
    <w:pPr>
      <w:ind w:left="1701" w:right="0" w:firstLine="0"/>
      <w:spacing w:after="57"/>
    </w:pPr>
  </w:style>
  <w:style w:type="paragraph" w:styleId="186">
    <w:name w:val="toc 8"/>
    <w:basedOn w:val="829"/>
    <w:next w:val="829"/>
    <w:uiPriority w:val="39"/>
    <w:unhideWhenUsed/>
    <w:pPr>
      <w:ind w:left="1984" w:right="0" w:firstLine="0"/>
      <w:spacing w:after="57"/>
    </w:pPr>
  </w:style>
  <w:style w:type="paragraph" w:styleId="187">
    <w:name w:val="toc 9"/>
    <w:basedOn w:val="829"/>
    <w:next w:val="829"/>
    <w:uiPriority w:val="39"/>
    <w:unhideWhenUsed/>
    <w:pPr>
      <w:ind w:left="2268" w:right="0" w:firstLine="0"/>
      <w:spacing w:after="57"/>
    </w:pPr>
  </w:style>
  <w:style w:type="paragraph" w:styleId="188">
    <w:name w:val="TOC Heading"/>
    <w:uiPriority w:val="39"/>
    <w:unhideWhenUsed/>
  </w:style>
  <w:style w:type="paragraph" w:styleId="189">
    <w:name w:val="table of figures"/>
    <w:basedOn w:val="829"/>
    <w:next w:val="829"/>
    <w:uiPriority w:val="99"/>
    <w:unhideWhenUsed/>
    <w:pPr>
      <w:spacing w:after="0" w:afterAutospacing="0"/>
    </w:pPr>
  </w:style>
  <w:style w:type="paragraph" w:styleId="829" w:default="1">
    <w:name w:val="Normal"/>
    <w:qFormat/>
    <w:pPr>
      <w:spacing w:after="200" w:line="276" w:lineRule="auto"/>
    </w:pPr>
    <w:rPr>
      <w:rFonts w:asciiTheme="minorHAnsi" w:hAnsiTheme="minorHAnsi"/>
      <w:sz w:val="22"/>
      <w:szCs w:val="22"/>
    </w:rPr>
  </w:style>
  <w:style w:type="character" w:styleId="830" w:default="1">
    <w:name w:val="Default Paragraph Font"/>
    <w:uiPriority w:val="1"/>
    <w:semiHidden/>
    <w:unhideWhenUsed/>
  </w:style>
  <w:style w:type="table" w:styleId="831" w:default="1">
    <w:name w:val="Normal Table"/>
    <w:uiPriority w:val="99"/>
    <w:semiHidden/>
    <w:unhideWhenUsed/>
    <w:tblPr>
      <w:tblInd w:w="0" w:type="dxa"/>
      <w:tblCellMar>
        <w:left w:w="108" w:type="dxa"/>
        <w:top w:w="0" w:type="dxa"/>
        <w:right w:w="108" w:type="dxa"/>
        <w:bottom w:w="0" w:type="dxa"/>
      </w:tblCellMar>
    </w:tblPr>
  </w:style>
  <w:style w:type="numbering" w:styleId="832" w:default="1">
    <w:name w:val="No List"/>
    <w:uiPriority w:val="99"/>
    <w:semiHidden/>
    <w:unhideWhenUsed/>
  </w:style>
  <w:style w:type="paragraph" w:styleId="833">
    <w:name w:val="Header"/>
    <w:basedOn w:val="829"/>
    <w:link w:val="834"/>
    <w:uiPriority w:val="99"/>
    <w:unhideWhenUsed/>
    <w:pPr>
      <w:tabs>
        <w:tab w:val="center" w:pos="4536" w:leader="none"/>
        <w:tab w:val="right" w:pos="9072" w:leader="none"/>
      </w:tabs>
    </w:pPr>
  </w:style>
  <w:style w:type="character" w:styleId="834" w:customStyle="1">
    <w:name w:val="Kopfzeile Zchn"/>
    <w:basedOn w:val="830"/>
    <w:link w:val="833"/>
    <w:uiPriority w:val="99"/>
    <w:rPr>
      <w:rFonts w:ascii="Rotis Sans Serif Std Light" w:hAnsi="Rotis Sans Serif Std Light"/>
    </w:rPr>
  </w:style>
  <w:style w:type="paragraph" w:styleId="835">
    <w:name w:val="Footer"/>
    <w:basedOn w:val="829"/>
    <w:link w:val="836"/>
    <w:uiPriority w:val="99"/>
    <w:unhideWhenUsed/>
    <w:pPr>
      <w:tabs>
        <w:tab w:val="center" w:pos="4536" w:leader="none"/>
        <w:tab w:val="right" w:pos="9072" w:leader="none"/>
      </w:tabs>
    </w:pPr>
  </w:style>
  <w:style w:type="character" w:styleId="836" w:customStyle="1">
    <w:name w:val="Fußzeile Zchn"/>
    <w:basedOn w:val="830"/>
    <w:link w:val="835"/>
    <w:uiPriority w:val="99"/>
    <w:rPr>
      <w:rFonts w:ascii="Rotis Sans Serif Std Light" w:hAnsi="Rotis Sans Serif Std Light"/>
    </w:rPr>
  </w:style>
  <w:style w:type="paragraph" w:styleId="837">
    <w:name w:val="footnote text"/>
    <w:basedOn w:val="829"/>
    <w:link w:val="838"/>
    <w:uiPriority w:val="99"/>
    <w:semiHidden/>
    <w:unhideWhenUsed/>
    <w:pPr>
      <w:spacing w:after="0" w:line="240" w:lineRule="auto"/>
    </w:pPr>
    <w:rPr>
      <w:sz w:val="20"/>
      <w:szCs w:val="20"/>
    </w:rPr>
  </w:style>
  <w:style w:type="character" w:styleId="838" w:customStyle="1">
    <w:name w:val="Fußnotentext Zchn"/>
    <w:basedOn w:val="830"/>
    <w:link w:val="837"/>
    <w:uiPriority w:val="99"/>
    <w:semiHidden/>
    <w:rPr>
      <w:rFonts w:asciiTheme="minorHAnsi" w:hAnsiTheme="minorHAnsi"/>
      <w:sz w:val="20"/>
      <w:szCs w:val="20"/>
    </w:rPr>
  </w:style>
  <w:style w:type="character" w:styleId="839">
    <w:name w:val="footnote reference"/>
    <w:basedOn w:val="830"/>
    <w:uiPriority w:val="99"/>
    <w:semiHidden/>
    <w:unhideWhenUsed/>
    <w:rPr>
      <w:vertAlign w:val="superscript"/>
    </w:rPr>
  </w:style>
  <w:style w:type="paragraph" w:styleId="840">
    <w:name w:val="List Paragraph"/>
    <w:basedOn w:val="829"/>
    <w:uiPriority w:val="34"/>
    <w:qFormat/>
    <w:pPr>
      <w:contextualSpacing/>
      <w:ind w:left="720"/>
    </w:pPr>
  </w:style>
  <w:style w:type="table" w:styleId="841">
    <w:name w:val="Table Grid"/>
    <w:basedOn w:val="831"/>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42" w:customStyle="1">
    <w:name w:val="Default"/>
    <w:rPr>
      <w:rFonts w:ascii="Arial" w:hAnsi="Arial" w:cs="Arial"/>
      <w:color w:val="000000"/>
    </w:rPr>
  </w:style>
  <w:style w:type="character" w:styleId="843">
    <w:name w:val="Hyperlink"/>
    <w:basedOn w:val="830"/>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2020-08-25T10:28:00Z</dcterms:created>
  <dcterms:modified xsi:type="dcterms:W3CDTF">2022-02-26T13:37:08Z</dcterms:modified>
</cp:coreProperties>
</file>