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1" w:type="dxa"/>
        <w:tblLook w:val="04A0" w:firstRow="1" w:lastRow="0" w:firstColumn="1" w:lastColumn="0" w:noHBand="0" w:noVBand="1"/>
      </w:tblPr>
      <w:tblGrid>
        <w:gridCol w:w="9351"/>
      </w:tblGrid>
      <w:tr w:rsidR="006A23BC" w:rsidRPr="00577521" w14:paraId="04CDEC98" w14:textId="77777777" w:rsidTr="00FF7C78">
        <w:tc>
          <w:tcPr>
            <w:tcW w:w="9351" w:type="dxa"/>
          </w:tcPr>
          <w:p w14:paraId="55D91A2C" w14:textId="77777777" w:rsidR="006A23BC" w:rsidRPr="00577521" w:rsidRDefault="006A23BC" w:rsidP="006A23BC">
            <w:pPr>
              <w:spacing w:after="0" w:line="240" w:lineRule="auto"/>
              <w:rPr>
                <w:rFonts w:cs="Open Sans"/>
                <w:b/>
                <w:sz w:val="20"/>
                <w:szCs w:val="20"/>
              </w:rPr>
            </w:pPr>
            <w:bookmarkStart w:id="0" w:name="_GoBack"/>
            <w:bookmarkEnd w:id="0"/>
            <w:r w:rsidRPr="00477D8C">
              <w:rPr>
                <w:rFonts w:cs="Open Sans"/>
                <w:b/>
                <w:sz w:val="28"/>
                <w:szCs w:val="20"/>
              </w:rPr>
              <w:t xml:space="preserve">Lösungsvorschlag Schulbuchtext-Analyse </w:t>
            </w:r>
            <w:r w:rsidRPr="00577521">
              <w:rPr>
                <w:rFonts w:cs="Open Sans"/>
                <w:sz w:val="20"/>
                <w:szCs w:val="20"/>
              </w:rPr>
              <w:t>(angegeben sind jeweils nur einige Beispiele)</w:t>
            </w:r>
          </w:p>
        </w:tc>
      </w:tr>
      <w:tr w:rsidR="006A23BC" w:rsidRPr="00577521" w14:paraId="1C4A99C0" w14:textId="77777777" w:rsidTr="00FF7C78">
        <w:tc>
          <w:tcPr>
            <w:tcW w:w="9351" w:type="dxa"/>
          </w:tcPr>
          <w:p w14:paraId="6AFA3831" w14:textId="77777777" w:rsidR="006A23BC" w:rsidRPr="00577521" w:rsidRDefault="006A23BC" w:rsidP="006A23BC">
            <w:pPr>
              <w:spacing w:after="0" w:line="240" w:lineRule="auto"/>
              <w:rPr>
                <w:rFonts w:cs="Open Sans"/>
                <w:b/>
                <w:sz w:val="20"/>
                <w:szCs w:val="20"/>
              </w:rPr>
            </w:pPr>
            <w:r w:rsidRPr="00477D8C">
              <w:rPr>
                <w:rFonts w:cs="Open Sans"/>
                <w:b/>
                <w:szCs w:val="20"/>
              </w:rPr>
              <w:t>1. Wortebene</w:t>
            </w:r>
          </w:p>
        </w:tc>
      </w:tr>
      <w:tr w:rsidR="006A23BC" w:rsidRPr="00577521" w14:paraId="7F1E0CBE" w14:textId="77777777" w:rsidTr="00FF7C78">
        <w:tc>
          <w:tcPr>
            <w:tcW w:w="9351" w:type="dxa"/>
          </w:tcPr>
          <w:p w14:paraId="05F1078E" w14:textId="77777777" w:rsidR="00477D8C" w:rsidRPr="00577521" w:rsidRDefault="00477D8C" w:rsidP="00477D8C">
            <w:pPr>
              <w:spacing w:after="0" w:line="240" w:lineRule="auto"/>
              <w:rPr>
                <w:rFonts w:cs="Open Sans"/>
                <w:b/>
                <w:sz w:val="20"/>
                <w:szCs w:val="20"/>
              </w:rPr>
            </w:pPr>
            <w:r>
              <w:rPr>
                <w:rFonts w:cs="Open Sans"/>
                <w:b/>
                <w:sz w:val="20"/>
                <w:szCs w:val="20"/>
              </w:rPr>
              <w:t>alltagssprachliche Wörter, die fachsprachlich eine Bedeutungsverschiebung erfahren:</w:t>
            </w:r>
          </w:p>
          <w:p w14:paraId="2AA00387" w14:textId="295BE823" w:rsidR="00477D8C" w:rsidRDefault="00477D8C" w:rsidP="00477D8C">
            <w:pPr>
              <w:spacing w:after="0" w:line="240" w:lineRule="auto"/>
              <w:ind w:left="284"/>
              <w:rPr>
                <w:rFonts w:cs="Open Sans"/>
                <w:b/>
                <w:sz w:val="20"/>
                <w:szCs w:val="20"/>
              </w:rPr>
            </w:pPr>
            <w:r w:rsidRPr="00577521">
              <w:rPr>
                <w:rFonts w:cs="Open Sans"/>
                <w:i/>
                <w:sz w:val="20"/>
                <w:szCs w:val="20"/>
              </w:rPr>
              <w:t>Konzentration, Gewalt, rechtsprechend, gesetzgebend, Bund, Länder, Gemeinden</w:t>
            </w:r>
            <w:r>
              <w:rPr>
                <w:rFonts w:cs="Open Sans"/>
                <w:i/>
                <w:sz w:val="20"/>
                <w:szCs w:val="20"/>
              </w:rPr>
              <w:t>,</w:t>
            </w:r>
            <w:r w:rsidRPr="00577521">
              <w:rPr>
                <w:rFonts w:cs="Open Sans"/>
                <w:i/>
                <w:sz w:val="20"/>
                <w:szCs w:val="20"/>
              </w:rPr>
              <w:t xml:space="preserve"> Verwaltung, Volk</w:t>
            </w:r>
            <w:r w:rsidRPr="00577521">
              <w:rPr>
                <w:rFonts w:cs="Open Sans"/>
                <w:b/>
                <w:sz w:val="20"/>
                <w:szCs w:val="20"/>
              </w:rPr>
              <w:t xml:space="preserve"> </w:t>
            </w:r>
          </w:p>
          <w:p w14:paraId="74F92E98" w14:textId="57B42AE8" w:rsidR="006A23BC" w:rsidRPr="00577521" w:rsidRDefault="006A23BC" w:rsidP="00477D8C">
            <w:pPr>
              <w:spacing w:after="0" w:line="240" w:lineRule="auto"/>
              <w:rPr>
                <w:rFonts w:cs="Open Sans"/>
                <w:b/>
                <w:sz w:val="20"/>
                <w:szCs w:val="20"/>
              </w:rPr>
            </w:pPr>
            <w:r w:rsidRPr="00577521">
              <w:rPr>
                <w:rFonts w:cs="Open Sans"/>
                <w:b/>
                <w:sz w:val="20"/>
                <w:szCs w:val="20"/>
              </w:rPr>
              <w:t>Fachwörter und Abkürzungen</w:t>
            </w:r>
            <w:r w:rsidR="00477D8C">
              <w:rPr>
                <w:rFonts w:cs="Open Sans"/>
                <w:b/>
                <w:sz w:val="20"/>
                <w:szCs w:val="20"/>
              </w:rPr>
              <w:t>:</w:t>
            </w:r>
          </w:p>
          <w:p w14:paraId="167D60E0"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Konzentration, repräsentativ, Gewalten, Legislative, Exekutive, Judikative, Justiz, demokratisch, Bundeskanzlerin, Parlament, Bund, Länder, Gemeinden, Bundesländer, … </w:t>
            </w:r>
          </w:p>
          <w:p w14:paraId="62FA3B54" w14:textId="24AAE7EC" w:rsidR="006A23BC" w:rsidRPr="00577521" w:rsidRDefault="00477D8C" w:rsidP="006A23BC">
            <w:pPr>
              <w:spacing w:after="0" w:line="240" w:lineRule="auto"/>
              <w:rPr>
                <w:rFonts w:cs="Open Sans"/>
                <w:b/>
                <w:sz w:val="20"/>
                <w:szCs w:val="20"/>
              </w:rPr>
            </w:pPr>
            <w:r>
              <w:rPr>
                <w:rFonts w:cs="Open Sans"/>
                <w:b/>
                <w:sz w:val="20"/>
                <w:szCs w:val="20"/>
              </w:rPr>
              <w:t xml:space="preserve">Fachwörter in Form von </w:t>
            </w:r>
            <w:r w:rsidR="006A23BC" w:rsidRPr="00577521">
              <w:rPr>
                <w:rFonts w:cs="Open Sans"/>
                <w:b/>
                <w:sz w:val="20"/>
                <w:szCs w:val="20"/>
              </w:rPr>
              <w:t>Nominalisierungen</w:t>
            </w:r>
            <w:r>
              <w:rPr>
                <w:rFonts w:cs="Open Sans"/>
                <w:b/>
                <w:sz w:val="20"/>
                <w:szCs w:val="20"/>
              </w:rPr>
              <w:t>:</w:t>
            </w:r>
          </w:p>
          <w:p w14:paraId="34C2EA12" w14:textId="45E55949" w:rsidR="006A23BC" w:rsidRPr="00577521" w:rsidRDefault="006A23BC" w:rsidP="006A23BC">
            <w:pPr>
              <w:spacing w:after="0" w:line="240" w:lineRule="auto"/>
              <w:ind w:left="283"/>
              <w:rPr>
                <w:rFonts w:cs="Open Sans"/>
                <w:i/>
                <w:sz w:val="20"/>
                <w:szCs w:val="20"/>
              </w:rPr>
            </w:pPr>
            <w:r w:rsidRPr="00577521">
              <w:rPr>
                <w:rFonts w:cs="Open Sans"/>
                <w:i/>
                <w:sz w:val="20"/>
                <w:szCs w:val="20"/>
              </w:rPr>
              <w:t>Trennung, Aufteilung, Aus</w:t>
            </w:r>
            <w:r>
              <w:rPr>
                <w:rFonts w:cs="Open Sans"/>
                <w:i/>
                <w:sz w:val="20"/>
                <w:szCs w:val="20"/>
              </w:rPr>
              <w:t>führung, Verwaltung, Beratungen, …</w:t>
            </w:r>
          </w:p>
          <w:p w14:paraId="349A853D" w14:textId="4B901443" w:rsidR="006A23BC" w:rsidRPr="00577521" w:rsidRDefault="00477D8C" w:rsidP="006A23BC">
            <w:pPr>
              <w:spacing w:after="0" w:line="240" w:lineRule="auto"/>
              <w:rPr>
                <w:rFonts w:cs="Open Sans"/>
                <w:b/>
                <w:sz w:val="20"/>
                <w:szCs w:val="20"/>
              </w:rPr>
            </w:pPr>
            <w:r>
              <w:rPr>
                <w:rFonts w:cs="Open Sans"/>
                <w:b/>
                <w:sz w:val="20"/>
                <w:szCs w:val="20"/>
              </w:rPr>
              <w:t xml:space="preserve">Fachwörter in Form von </w:t>
            </w:r>
            <w:r w:rsidR="006A23BC" w:rsidRPr="00577521">
              <w:rPr>
                <w:rFonts w:cs="Open Sans"/>
                <w:b/>
                <w:sz w:val="20"/>
                <w:szCs w:val="20"/>
              </w:rPr>
              <w:t>Komposita</w:t>
            </w:r>
            <w:r>
              <w:rPr>
                <w:rFonts w:cs="Open Sans"/>
                <w:b/>
                <w:sz w:val="20"/>
                <w:szCs w:val="20"/>
              </w:rPr>
              <w:t xml:space="preserve"> (zusammengesetzten Nomen oder Adjektiven):</w:t>
            </w:r>
          </w:p>
          <w:p w14:paraId="77331E4B" w14:textId="293623E0" w:rsidR="006A23BC" w:rsidRPr="00577521" w:rsidRDefault="006A23BC" w:rsidP="00477D8C">
            <w:pPr>
              <w:spacing w:after="0" w:line="240" w:lineRule="auto"/>
              <w:ind w:left="283"/>
              <w:rPr>
                <w:rFonts w:cs="Open Sans"/>
                <w:i/>
                <w:sz w:val="20"/>
                <w:szCs w:val="20"/>
              </w:rPr>
            </w:pPr>
            <w:r w:rsidRPr="00577521">
              <w:rPr>
                <w:rFonts w:cs="Open Sans"/>
                <w:i/>
                <w:sz w:val="20"/>
                <w:szCs w:val="20"/>
              </w:rPr>
              <w:t>Gewaltenteilung, gesetzgebend, rechtsprechend, Kontrollfunktion, Mehrheitsfraktion, Rechtsverordnungen, Bundestag, Bundesrat, Gesetzesbeschlüsse, Bundesverfassungsgericht, …</w:t>
            </w:r>
          </w:p>
        </w:tc>
      </w:tr>
      <w:tr w:rsidR="006A23BC" w:rsidRPr="00577521" w14:paraId="111FF460" w14:textId="77777777" w:rsidTr="00FF7C78">
        <w:tc>
          <w:tcPr>
            <w:tcW w:w="9351" w:type="dxa"/>
          </w:tcPr>
          <w:p w14:paraId="3EDBCBA3" w14:textId="77777777" w:rsidR="006A23BC" w:rsidRPr="00577521" w:rsidRDefault="006A23BC" w:rsidP="006A23BC">
            <w:pPr>
              <w:spacing w:after="0" w:line="240" w:lineRule="auto"/>
              <w:rPr>
                <w:rFonts w:cs="Open Sans"/>
                <w:b/>
                <w:sz w:val="20"/>
                <w:szCs w:val="20"/>
              </w:rPr>
            </w:pPr>
            <w:r w:rsidRPr="00477D8C">
              <w:rPr>
                <w:rFonts w:cs="Open Sans"/>
                <w:b/>
                <w:szCs w:val="20"/>
              </w:rPr>
              <w:t>2. Satzebene</w:t>
            </w:r>
          </w:p>
        </w:tc>
      </w:tr>
      <w:tr w:rsidR="006A23BC" w:rsidRPr="00577521" w14:paraId="4A0D634A" w14:textId="77777777" w:rsidTr="00FF7C78">
        <w:tc>
          <w:tcPr>
            <w:tcW w:w="9351" w:type="dxa"/>
          </w:tcPr>
          <w:p w14:paraId="11EEB748" w14:textId="01CA412B" w:rsidR="006A23BC" w:rsidRPr="00577521" w:rsidRDefault="00477D8C" w:rsidP="006A23BC">
            <w:pPr>
              <w:spacing w:after="0" w:line="240" w:lineRule="auto"/>
              <w:rPr>
                <w:rFonts w:cs="Open Sans"/>
                <w:b/>
                <w:sz w:val="20"/>
                <w:szCs w:val="20"/>
              </w:rPr>
            </w:pPr>
            <w:r>
              <w:rPr>
                <w:rFonts w:cs="Open Sans"/>
                <w:b/>
                <w:sz w:val="20"/>
                <w:szCs w:val="20"/>
              </w:rPr>
              <w:t>u</w:t>
            </w:r>
            <w:r w:rsidR="006A23BC" w:rsidRPr="00577521">
              <w:rPr>
                <w:rFonts w:cs="Open Sans"/>
                <w:b/>
                <w:sz w:val="20"/>
                <w:szCs w:val="20"/>
              </w:rPr>
              <w:t>npersönliche Ausdrucksweise</w:t>
            </w:r>
            <w:r>
              <w:rPr>
                <w:rFonts w:cs="Open Sans"/>
                <w:b/>
                <w:sz w:val="20"/>
                <w:szCs w:val="20"/>
              </w:rPr>
              <w:t xml:space="preserve"> – z. B. Passiv und </w:t>
            </w:r>
            <w:r w:rsidRPr="00477D8C">
              <w:rPr>
                <w:rFonts w:cs="Open Sans"/>
                <w:b/>
                <w:i/>
                <w:sz w:val="20"/>
                <w:szCs w:val="20"/>
              </w:rPr>
              <w:t>man</w:t>
            </w:r>
            <w:r>
              <w:rPr>
                <w:rFonts w:cs="Open Sans"/>
                <w:b/>
                <w:sz w:val="20"/>
                <w:szCs w:val="20"/>
              </w:rPr>
              <w:t>:</w:t>
            </w:r>
          </w:p>
          <w:p w14:paraId="0DFA05AC"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Um die Konzentration und den Missbrauch übertragener staatlicher Gewalt systematisch zu verhindern, </w:t>
            </w:r>
            <w:r w:rsidRPr="00577521">
              <w:rPr>
                <w:rFonts w:cs="Open Sans"/>
                <w:i/>
                <w:sz w:val="20"/>
                <w:szCs w:val="20"/>
                <w:u w:val="single"/>
              </w:rPr>
              <w:t>werden</w:t>
            </w:r>
            <w:r w:rsidRPr="00577521">
              <w:rPr>
                <w:rFonts w:cs="Open Sans"/>
                <w:i/>
                <w:sz w:val="20"/>
                <w:szCs w:val="20"/>
              </w:rPr>
              <w:t xml:space="preserve"> repräsentative Systeme den Überlegungen John Lockes und Montesquieus folgend in drei Gewalten </w:t>
            </w:r>
            <w:r w:rsidRPr="00577521">
              <w:rPr>
                <w:rFonts w:cs="Open Sans"/>
                <w:i/>
                <w:sz w:val="20"/>
                <w:szCs w:val="20"/>
                <w:u w:val="single"/>
              </w:rPr>
              <w:t>aufgeteilt</w:t>
            </w:r>
            <w:r w:rsidRPr="00577521">
              <w:rPr>
                <w:rFonts w:cs="Open Sans"/>
                <w:i/>
                <w:sz w:val="20"/>
                <w:szCs w:val="20"/>
              </w:rPr>
              <w:t xml:space="preserve">. </w:t>
            </w:r>
          </w:p>
          <w:p w14:paraId="4BB85A05"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Die strikte Trennung, die Montesquieu vorschwebte, </w:t>
            </w:r>
            <w:r w:rsidRPr="00577521">
              <w:rPr>
                <w:rFonts w:cs="Open Sans"/>
                <w:i/>
                <w:sz w:val="20"/>
                <w:szCs w:val="20"/>
                <w:u w:val="single"/>
              </w:rPr>
              <w:t>ist</w:t>
            </w:r>
            <w:r w:rsidRPr="00577521">
              <w:rPr>
                <w:rFonts w:cs="Open Sans"/>
                <w:i/>
                <w:sz w:val="20"/>
                <w:szCs w:val="20"/>
              </w:rPr>
              <w:t xml:space="preserve"> allerdings nicht </w:t>
            </w:r>
            <w:r w:rsidRPr="00577521">
              <w:rPr>
                <w:rFonts w:cs="Open Sans"/>
                <w:i/>
                <w:sz w:val="20"/>
                <w:szCs w:val="20"/>
                <w:u w:val="single"/>
              </w:rPr>
              <w:t>verwirklicht</w:t>
            </w:r>
            <w:r w:rsidRPr="00577521">
              <w:rPr>
                <w:rFonts w:cs="Open Sans"/>
                <w:i/>
                <w:sz w:val="20"/>
                <w:szCs w:val="20"/>
              </w:rPr>
              <w:t xml:space="preserve">. </w:t>
            </w:r>
          </w:p>
          <w:p w14:paraId="7A62570B" w14:textId="77777777" w:rsidR="006A23BC" w:rsidRDefault="006A23BC" w:rsidP="006A23BC">
            <w:pPr>
              <w:spacing w:after="0" w:line="240" w:lineRule="auto"/>
              <w:ind w:left="283"/>
              <w:rPr>
                <w:rFonts w:cs="Open Sans"/>
                <w:i/>
                <w:sz w:val="20"/>
                <w:szCs w:val="20"/>
              </w:rPr>
            </w:pPr>
            <w:r w:rsidRPr="00577521">
              <w:rPr>
                <w:rFonts w:cs="Open Sans"/>
                <w:i/>
                <w:sz w:val="20"/>
                <w:szCs w:val="20"/>
              </w:rPr>
              <w:t xml:space="preserve">Bei Gewaltenteilung auf gleicher politischer Ebene spricht </w:t>
            </w:r>
            <w:r w:rsidRPr="00577521">
              <w:rPr>
                <w:rFonts w:cs="Open Sans"/>
                <w:i/>
                <w:sz w:val="20"/>
                <w:szCs w:val="20"/>
                <w:u w:val="single"/>
              </w:rPr>
              <w:t>man</w:t>
            </w:r>
            <w:r w:rsidRPr="00577521">
              <w:rPr>
                <w:rFonts w:cs="Open Sans"/>
                <w:i/>
                <w:sz w:val="20"/>
                <w:szCs w:val="20"/>
              </w:rPr>
              <w:t xml:space="preserve"> von horizontaler Gewaltenteilung. </w:t>
            </w:r>
          </w:p>
          <w:p w14:paraId="29D71465" w14:textId="77777777" w:rsidR="00477D8C" w:rsidRPr="00577521" w:rsidRDefault="00477D8C" w:rsidP="00477D8C">
            <w:pPr>
              <w:spacing w:after="0" w:line="240" w:lineRule="auto"/>
              <w:ind w:left="283"/>
              <w:rPr>
                <w:rFonts w:cs="Open Sans"/>
                <w:i/>
                <w:sz w:val="20"/>
                <w:szCs w:val="20"/>
              </w:rPr>
            </w:pPr>
            <w:r w:rsidRPr="00577521">
              <w:rPr>
                <w:rFonts w:cs="Open Sans"/>
                <w:i/>
                <w:sz w:val="20"/>
                <w:szCs w:val="20"/>
              </w:rPr>
              <w:t xml:space="preserve">Vielmehr kommt </w:t>
            </w:r>
            <w:r w:rsidRPr="00577521">
              <w:rPr>
                <w:rFonts w:cs="Open Sans"/>
                <w:i/>
                <w:sz w:val="20"/>
                <w:szCs w:val="20"/>
                <w:u w:val="single"/>
              </w:rPr>
              <w:t>es</w:t>
            </w:r>
            <w:r w:rsidRPr="00577521">
              <w:rPr>
                <w:rFonts w:cs="Open Sans"/>
                <w:i/>
                <w:sz w:val="20"/>
                <w:szCs w:val="20"/>
              </w:rPr>
              <w:t xml:space="preserve"> im Bereich der Exekutive und der Legislative zu einer Gewaltenverschränkung, … </w:t>
            </w:r>
          </w:p>
          <w:p w14:paraId="29B22A0C" w14:textId="61F7193E" w:rsidR="006A23BC" w:rsidRPr="00577521" w:rsidRDefault="00477D8C" w:rsidP="006A23BC">
            <w:pPr>
              <w:spacing w:after="0" w:line="240" w:lineRule="auto"/>
              <w:rPr>
                <w:rFonts w:cs="Open Sans"/>
                <w:b/>
                <w:sz w:val="20"/>
                <w:szCs w:val="20"/>
              </w:rPr>
            </w:pPr>
            <w:r>
              <w:rPr>
                <w:rFonts w:cs="Open Sans"/>
                <w:b/>
                <w:sz w:val="20"/>
                <w:szCs w:val="20"/>
              </w:rPr>
              <w:t>Attribute (komplexe Beifügungen):</w:t>
            </w:r>
          </w:p>
          <w:p w14:paraId="3303DB50"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den Überlegungen </w:t>
            </w:r>
            <w:r w:rsidRPr="00577521">
              <w:rPr>
                <w:rFonts w:cs="Open Sans"/>
                <w:i/>
                <w:sz w:val="20"/>
                <w:szCs w:val="20"/>
                <w:u w:val="single"/>
              </w:rPr>
              <w:t>John Lockes und Montesquieus</w:t>
            </w:r>
          </w:p>
          <w:p w14:paraId="36015472"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eine </w:t>
            </w:r>
            <w:r w:rsidRPr="00577521">
              <w:rPr>
                <w:rFonts w:cs="Open Sans"/>
                <w:i/>
                <w:sz w:val="20"/>
                <w:szCs w:val="20"/>
                <w:u w:val="single"/>
              </w:rPr>
              <w:t>von der Regierung unabhängige</w:t>
            </w:r>
            <w:r w:rsidRPr="00577521">
              <w:rPr>
                <w:rFonts w:cs="Open Sans"/>
                <w:i/>
                <w:sz w:val="20"/>
                <w:szCs w:val="20"/>
              </w:rPr>
              <w:t xml:space="preserve"> Justiz</w:t>
            </w:r>
          </w:p>
          <w:p w14:paraId="6C115EB8"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die Ausführung </w:t>
            </w:r>
            <w:r w:rsidRPr="00577521">
              <w:rPr>
                <w:rFonts w:cs="Open Sans"/>
                <w:i/>
                <w:sz w:val="20"/>
                <w:szCs w:val="20"/>
                <w:u w:val="single"/>
              </w:rPr>
              <w:t>der Gesetze und Rechtsverordnungen durch die Verwaltung</w:t>
            </w:r>
            <w:r w:rsidRPr="00577521">
              <w:rPr>
                <w:rFonts w:cs="Open Sans"/>
                <w:i/>
                <w:sz w:val="20"/>
                <w:szCs w:val="20"/>
              </w:rPr>
              <w:t xml:space="preserve"> </w:t>
            </w:r>
          </w:p>
          <w:p w14:paraId="716BB9B8"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u w:val="single"/>
              </w:rPr>
              <w:t>von Bundestag und Bundesrat beschlossene</w:t>
            </w:r>
            <w:r w:rsidRPr="00577521">
              <w:rPr>
                <w:rFonts w:cs="Open Sans"/>
                <w:i/>
                <w:sz w:val="20"/>
                <w:szCs w:val="20"/>
              </w:rPr>
              <w:t xml:space="preserve"> Gesetze </w:t>
            </w:r>
          </w:p>
          <w:p w14:paraId="17746C64" w14:textId="6CFD940E" w:rsidR="006A23BC" w:rsidRPr="00577521" w:rsidRDefault="00477D8C" w:rsidP="006A23BC">
            <w:pPr>
              <w:spacing w:after="0" w:line="240" w:lineRule="auto"/>
              <w:rPr>
                <w:rFonts w:cs="Open Sans"/>
                <w:b/>
                <w:sz w:val="20"/>
                <w:szCs w:val="20"/>
              </w:rPr>
            </w:pPr>
            <w:r>
              <w:rPr>
                <w:rFonts w:cs="Open Sans"/>
                <w:b/>
                <w:sz w:val="20"/>
                <w:szCs w:val="20"/>
              </w:rPr>
              <w:t>t</w:t>
            </w:r>
            <w:r w:rsidR="006A23BC" w:rsidRPr="00577521">
              <w:rPr>
                <w:rFonts w:cs="Open Sans"/>
                <w:b/>
                <w:sz w:val="20"/>
                <w:szCs w:val="20"/>
              </w:rPr>
              <w:t>rennbare Verben</w:t>
            </w:r>
            <w:r>
              <w:rPr>
                <w:rFonts w:cs="Open Sans"/>
                <w:b/>
                <w:sz w:val="20"/>
                <w:szCs w:val="20"/>
              </w:rPr>
              <w:t>:</w:t>
            </w:r>
          </w:p>
          <w:p w14:paraId="686EEA87" w14:textId="203FA9D6" w:rsidR="006A23BC" w:rsidRPr="00577521" w:rsidRDefault="00477D8C" w:rsidP="006A23BC">
            <w:pPr>
              <w:spacing w:after="0" w:line="240" w:lineRule="auto"/>
              <w:ind w:left="283"/>
              <w:rPr>
                <w:rFonts w:cs="Open Sans"/>
                <w:i/>
                <w:sz w:val="20"/>
                <w:szCs w:val="20"/>
              </w:rPr>
            </w:pPr>
            <w:r>
              <w:rPr>
                <w:rFonts w:cs="Open Sans"/>
                <w:i/>
                <w:sz w:val="20"/>
                <w:szCs w:val="20"/>
              </w:rPr>
              <w:t>geht … hervor, wirken … mit,</w:t>
            </w:r>
            <w:r w:rsidR="006A23BC" w:rsidRPr="00577521">
              <w:rPr>
                <w:rFonts w:cs="Open Sans"/>
                <w:i/>
                <w:sz w:val="20"/>
                <w:szCs w:val="20"/>
              </w:rPr>
              <w:t xml:space="preserve"> führt … aus</w:t>
            </w:r>
          </w:p>
          <w:p w14:paraId="022831B6" w14:textId="18C4500D" w:rsidR="006A23BC" w:rsidRPr="00577521" w:rsidRDefault="006A23BC" w:rsidP="006A23BC">
            <w:pPr>
              <w:spacing w:after="0" w:line="240" w:lineRule="auto"/>
              <w:rPr>
                <w:rFonts w:cs="Open Sans"/>
                <w:b/>
                <w:sz w:val="20"/>
                <w:szCs w:val="20"/>
              </w:rPr>
            </w:pPr>
            <w:r w:rsidRPr="00577521">
              <w:rPr>
                <w:rFonts w:cs="Open Sans"/>
                <w:b/>
                <w:sz w:val="20"/>
                <w:szCs w:val="20"/>
              </w:rPr>
              <w:t xml:space="preserve">Verben mit </w:t>
            </w:r>
            <w:r w:rsidR="00477D8C">
              <w:rPr>
                <w:rFonts w:cs="Open Sans"/>
                <w:b/>
                <w:sz w:val="20"/>
                <w:szCs w:val="20"/>
              </w:rPr>
              <w:t>Präpositionen:</w:t>
            </w:r>
          </w:p>
          <w:p w14:paraId="5B07BF79" w14:textId="0C960722" w:rsidR="006A23BC" w:rsidRPr="00577521" w:rsidRDefault="00477D8C" w:rsidP="006A23BC">
            <w:pPr>
              <w:spacing w:after="0" w:line="240" w:lineRule="auto"/>
              <w:ind w:left="283"/>
              <w:rPr>
                <w:rFonts w:cs="Open Sans"/>
                <w:i/>
                <w:sz w:val="20"/>
                <w:szCs w:val="20"/>
              </w:rPr>
            </w:pPr>
            <w:r>
              <w:rPr>
                <w:rFonts w:cs="Open Sans"/>
                <w:i/>
                <w:sz w:val="20"/>
                <w:szCs w:val="20"/>
              </w:rPr>
              <w:t>sprechen von,</w:t>
            </w:r>
            <w:r w:rsidR="006A23BC" w:rsidRPr="00577521">
              <w:rPr>
                <w:rFonts w:cs="Open Sans"/>
                <w:i/>
                <w:sz w:val="20"/>
                <w:szCs w:val="20"/>
              </w:rPr>
              <w:t xml:space="preserve"> hervorgehen aus</w:t>
            </w:r>
          </w:p>
          <w:p w14:paraId="5349732E" w14:textId="5725DF4F" w:rsidR="006A23BC" w:rsidRPr="00577521" w:rsidRDefault="006A23BC" w:rsidP="006A23BC">
            <w:pPr>
              <w:spacing w:after="0" w:line="240" w:lineRule="auto"/>
              <w:rPr>
                <w:rFonts w:cs="Open Sans"/>
                <w:b/>
                <w:sz w:val="20"/>
                <w:szCs w:val="20"/>
              </w:rPr>
            </w:pPr>
            <w:r w:rsidRPr="00577521">
              <w:rPr>
                <w:rFonts w:cs="Open Sans"/>
                <w:b/>
                <w:sz w:val="20"/>
                <w:szCs w:val="20"/>
              </w:rPr>
              <w:t>Relativsatz</w:t>
            </w:r>
            <w:r w:rsidR="00477D8C">
              <w:rPr>
                <w:rFonts w:cs="Open Sans"/>
                <w:b/>
                <w:sz w:val="20"/>
                <w:szCs w:val="20"/>
              </w:rPr>
              <w:t>:</w:t>
            </w:r>
          </w:p>
          <w:p w14:paraId="43D47D9C"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Die strikte Trennung, </w:t>
            </w:r>
            <w:r w:rsidRPr="00577521">
              <w:rPr>
                <w:rFonts w:cs="Open Sans"/>
                <w:i/>
                <w:sz w:val="20"/>
                <w:szCs w:val="20"/>
                <w:u w:val="single"/>
              </w:rPr>
              <w:t>die Montesquieu vorschwebte</w:t>
            </w:r>
            <w:r w:rsidRPr="00577521">
              <w:rPr>
                <w:rFonts w:cs="Open Sans"/>
                <w:i/>
                <w:sz w:val="20"/>
                <w:szCs w:val="20"/>
              </w:rPr>
              <w:t>, ist allerdings nicht verwirklicht.</w:t>
            </w:r>
          </w:p>
          <w:p w14:paraId="49E3919A" w14:textId="62F4CE36" w:rsidR="006A23BC" w:rsidRPr="00577521" w:rsidRDefault="006A23BC" w:rsidP="006A23BC">
            <w:pPr>
              <w:spacing w:after="0" w:line="240" w:lineRule="auto"/>
              <w:rPr>
                <w:rFonts w:cs="Open Sans"/>
                <w:b/>
                <w:sz w:val="20"/>
                <w:szCs w:val="20"/>
              </w:rPr>
            </w:pPr>
            <w:r w:rsidRPr="00577521">
              <w:rPr>
                <w:rFonts w:cs="Open Sans"/>
                <w:b/>
                <w:sz w:val="20"/>
                <w:szCs w:val="20"/>
              </w:rPr>
              <w:t>Finalsatz (Ziel/Zweck)</w:t>
            </w:r>
            <w:r w:rsidR="00477D8C">
              <w:rPr>
                <w:rFonts w:cs="Open Sans"/>
                <w:b/>
                <w:sz w:val="20"/>
                <w:szCs w:val="20"/>
              </w:rPr>
              <w:t>:</w:t>
            </w:r>
          </w:p>
          <w:p w14:paraId="3A55A92C"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u w:val="single"/>
              </w:rPr>
              <w:t>Um die Konzentration und den Missbrauch übertragener staatlicher Gewalt systematisch zu verhindern</w:t>
            </w:r>
            <w:r w:rsidRPr="00577521">
              <w:rPr>
                <w:rFonts w:cs="Open Sans"/>
                <w:i/>
                <w:sz w:val="20"/>
                <w:szCs w:val="20"/>
              </w:rPr>
              <w:t xml:space="preserve">, werden repräsentative Systeme den Überlegungen John Lockes und Montesquieus folgend in drei Gewalten aufgeteilt. </w:t>
            </w:r>
          </w:p>
          <w:p w14:paraId="0347C9DD" w14:textId="6497D8C3" w:rsidR="006A23BC" w:rsidRPr="00577521" w:rsidRDefault="006A23BC" w:rsidP="006A23BC">
            <w:pPr>
              <w:spacing w:after="0" w:line="240" w:lineRule="auto"/>
              <w:rPr>
                <w:rFonts w:cs="Open Sans"/>
                <w:b/>
                <w:sz w:val="20"/>
                <w:szCs w:val="20"/>
              </w:rPr>
            </w:pPr>
            <w:r w:rsidRPr="00577521">
              <w:rPr>
                <w:rFonts w:cs="Open Sans"/>
                <w:b/>
                <w:sz w:val="20"/>
                <w:szCs w:val="20"/>
              </w:rPr>
              <w:t>Kausalsatz (Grund)</w:t>
            </w:r>
            <w:r w:rsidR="00477D8C">
              <w:rPr>
                <w:rFonts w:cs="Open Sans"/>
                <w:b/>
                <w:sz w:val="20"/>
                <w:szCs w:val="20"/>
              </w:rPr>
              <w:t>:</w:t>
            </w:r>
          </w:p>
          <w:p w14:paraId="7417E4B2"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Vielmehr kommt es im Bereich der Exekutive und der Legislative zu einer Gewaltenverschränkung, </w:t>
            </w:r>
            <w:r w:rsidRPr="00577521">
              <w:rPr>
                <w:rFonts w:cs="Open Sans"/>
                <w:i/>
                <w:sz w:val="20"/>
                <w:szCs w:val="20"/>
                <w:u w:val="single"/>
              </w:rPr>
              <w:t>da die Bundeskanzlerin bzw. der Bundeskanzler (Exekutive) dem Parlament (Legislative) gegenüber verantwortlich ist und von ihm gewählt wird und damit die Kontrollfunktion</w:t>
            </w:r>
            <w:r w:rsidRPr="00577521">
              <w:rPr>
                <w:rFonts w:cs="Open Sans"/>
                <w:i/>
                <w:sz w:val="20"/>
                <w:szCs w:val="20"/>
              </w:rPr>
              <w:t xml:space="preserve">, die das Parlament (Legislative) gegenüber der Regierung (Exekutive) ausüben soll, </w:t>
            </w:r>
            <w:r w:rsidRPr="00577521">
              <w:rPr>
                <w:rFonts w:cs="Open Sans"/>
                <w:i/>
                <w:sz w:val="20"/>
                <w:szCs w:val="20"/>
                <w:u w:val="single"/>
              </w:rPr>
              <w:t>eingeschränkt ist</w:t>
            </w:r>
            <w:r w:rsidRPr="00577521">
              <w:rPr>
                <w:rFonts w:cs="Open Sans"/>
                <w:i/>
                <w:sz w:val="20"/>
                <w:szCs w:val="20"/>
              </w:rPr>
              <w:t xml:space="preserve">. </w:t>
            </w:r>
          </w:p>
          <w:p w14:paraId="53AD7075" w14:textId="3063A74E" w:rsidR="006A23BC" w:rsidRPr="00577521" w:rsidRDefault="006A23BC" w:rsidP="006A23BC">
            <w:pPr>
              <w:spacing w:after="0" w:line="240" w:lineRule="auto"/>
              <w:rPr>
                <w:rFonts w:cs="Open Sans"/>
                <w:b/>
                <w:sz w:val="20"/>
                <w:szCs w:val="20"/>
              </w:rPr>
            </w:pPr>
            <w:r w:rsidRPr="00577521">
              <w:rPr>
                <w:rFonts w:cs="Open Sans"/>
                <w:b/>
                <w:sz w:val="20"/>
                <w:szCs w:val="20"/>
              </w:rPr>
              <w:t>Komplexe Satzgefüge</w:t>
            </w:r>
            <w:r w:rsidR="00477D8C">
              <w:rPr>
                <w:rFonts w:cs="Open Sans"/>
                <w:b/>
                <w:sz w:val="20"/>
                <w:szCs w:val="20"/>
              </w:rPr>
              <w:t>:</w:t>
            </w:r>
          </w:p>
          <w:p w14:paraId="3FC029B9"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Vielmehr kommt es im Bereich der Exekutive und der Legislative zu einer Gewaltenverschränkung, </w:t>
            </w:r>
            <w:r w:rsidRPr="00577521">
              <w:rPr>
                <w:rFonts w:cs="Open Sans"/>
                <w:i/>
                <w:sz w:val="20"/>
                <w:szCs w:val="20"/>
                <w:u w:val="single"/>
              </w:rPr>
              <w:t>da die Bundeskanzlerin bzw. der Bundeskanzler (Exekutive) dem Parlament (Legislative) gegenüber verantwortlich ist und von ihm gewählt wird und damit die Kontrollfunktion, die das Parlament (Legislative) gegenüber der Regierung (Exekutive) ausüben soll, eingeschränkt ist</w:t>
            </w:r>
            <w:r w:rsidRPr="00577521">
              <w:rPr>
                <w:rFonts w:cs="Open Sans"/>
                <w:i/>
                <w:sz w:val="20"/>
                <w:szCs w:val="20"/>
              </w:rPr>
              <w:t xml:space="preserve">. </w:t>
            </w:r>
          </w:p>
        </w:tc>
      </w:tr>
      <w:tr w:rsidR="006A23BC" w:rsidRPr="00577521" w14:paraId="66CC1694" w14:textId="77777777" w:rsidTr="00FF7C78">
        <w:tc>
          <w:tcPr>
            <w:tcW w:w="9351" w:type="dxa"/>
          </w:tcPr>
          <w:p w14:paraId="7EA6F9DA" w14:textId="77777777" w:rsidR="006A23BC" w:rsidRPr="00577521" w:rsidRDefault="006A23BC" w:rsidP="006A23BC">
            <w:pPr>
              <w:spacing w:after="0" w:line="240" w:lineRule="auto"/>
              <w:rPr>
                <w:rFonts w:cs="Open Sans"/>
                <w:b/>
                <w:sz w:val="20"/>
                <w:szCs w:val="20"/>
              </w:rPr>
            </w:pPr>
            <w:r w:rsidRPr="00477D8C">
              <w:rPr>
                <w:rFonts w:cs="Open Sans"/>
                <w:b/>
                <w:szCs w:val="20"/>
              </w:rPr>
              <w:t>3. Textebene</w:t>
            </w:r>
          </w:p>
        </w:tc>
      </w:tr>
      <w:tr w:rsidR="006A23BC" w:rsidRPr="00577521" w14:paraId="1FBB27DE" w14:textId="77777777" w:rsidTr="00FF7C78">
        <w:tc>
          <w:tcPr>
            <w:tcW w:w="9351" w:type="dxa"/>
          </w:tcPr>
          <w:p w14:paraId="3E8B2BAB" w14:textId="7A16157A" w:rsidR="006A23BC" w:rsidRPr="00577521" w:rsidRDefault="006A23BC" w:rsidP="006A23BC">
            <w:pPr>
              <w:spacing w:after="0" w:line="240" w:lineRule="auto"/>
              <w:rPr>
                <w:rFonts w:cs="Open Sans"/>
                <w:b/>
                <w:sz w:val="20"/>
                <w:szCs w:val="20"/>
              </w:rPr>
            </w:pPr>
            <w:r w:rsidRPr="00577521">
              <w:rPr>
                <w:rFonts w:cs="Open Sans"/>
                <w:b/>
                <w:sz w:val="20"/>
                <w:szCs w:val="20"/>
              </w:rPr>
              <w:t>Markierung des Textzusammenhangs</w:t>
            </w:r>
            <w:r w:rsidR="00477D8C">
              <w:rPr>
                <w:rFonts w:cs="Open Sans"/>
                <w:b/>
                <w:sz w:val="20"/>
                <w:szCs w:val="20"/>
              </w:rPr>
              <w:t>:</w:t>
            </w:r>
          </w:p>
          <w:p w14:paraId="7C171B48" w14:textId="77777777" w:rsidR="006A23BC" w:rsidRPr="00577521" w:rsidRDefault="006A23BC" w:rsidP="006A23BC">
            <w:pPr>
              <w:spacing w:after="0" w:line="240" w:lineRule="auto"/>
              <w:ind w:left="283"/>
              <w:rPr>
                <w:rFonts w:cs="Open Sans"/>
                <w:i/>
                <w:sz w:val="20"/>
                <w:szCs w:val="20"/>
              </w:rPr>
            </w:pPr>
            <w:r w:rsidRPr="00577521">
              <w:rPr>
                <w:rFonts w:cs="Open Sans"/>
                <w:b/>
                <w:i/>
                <w:sz w:val="20"/>
                <w:szCs w:val="20"/>
              </w:rPr>
              <w:t>Die strikte Trennung</w:t>
            </w:r>
            <w:r w:rsidRPr="00577521">
              <w:rPr>
                <w:rFonts w:cs="Open Sans"/>
                <w:i/>
                <w:sz w:val="20"/>
                <w:szCs w:val="20"/>
              </w:rPr>
              <w:t xml:space="preserve">, </w:t>
            </w:r>
            <w:r w:rsidRPr="00577521">
              <w:rPr>
                <w:rFonts w:cs="Open Sans"/>
                <w:i/>
                <w:sz w:val="20"/>
                <w:szCs w:val="20"/>
                <w:u w:val="single"/>
              </w:rPr>
              <w:t>die</w:t>
            </w:r>
            <w:r w:rsidRPr="00577521">
              <w:rPr>
                <w:rFonts w:cs="Open Sans"/>
                <w:i/>
                <w:sz w:val="20"/>
                <w:szCs w:val="20"/>
              </w:rPr>
              <w:t xml:space="preserve"> Montesquieu vorschwebte, ist </w:t>
            </w:r>
            <w:r w:rsidRPr="00577521">
              <w:rPr>
                <w:rFonts w:cs="Open Sans"/>
                <w:i/>
                <w:sz w:val="20"/>
                <w:szCs w:val="20"/>
                <w:u w:val="single"/>
              </w:rPr>
              <w:t>allerdings</w:t>
            </w:r>
            <w:r w:rsidRPr="00577521">
              <w:rPr>
                <w:rFonts w:cs="Open Sans"/>
                <w:i/>
                <w:sz w:val="20"/>
                <w:szCs w:val="20"/>
              </w:rPr>
              <w:t xml:space="preserve"> nicht verwirklicht.</w:t>
            </w:r>
          </w:p>
          <w:p w14:paraId="1D7E8308" w14:textId="77777777" w:rsidR="006A23BC" w:rsidRPr="00577521" w:rsidRDefault="006A23BC" w:rsidP="006A23BC">
            <w:pPr>
              <w:spacing w:after="0" w:line="240" w:lineRule="auto"/>
              <w:ind w:left="283"/>
              <w:rPr>
                <w:rFonts w:cs="Open Sans"/>
                <w:i/>
                <w:sz w:val="20"/>
                <w:szCs w:val="20"/>
              </w:rPr>
            </w:pPr>
            <w:r w:rsidRPr="00577521">
              <w:rPr>
                <w:rFonts w:cs="Open Sans"/>
                <w:i/>
                <w:sz w:val="20"/>
                <w:szCs w:val="20"/>
              </w:rPr>
              <w:t xml:space="preserve">Die Regierung geht aus dem </w:t>
            </w:r>
            <w:r w:rsidRPr="00577521">
              <w:rPr>
                <w:rFonts w:cs="Open Sans"/>
                <w:b/>
                <w:i/>
                <w:sz w:val="20"/>
                <w:szCs w:val="20"/>
              </w:rPr>
              <w:t>Parlament</w:t>
            </w:r>
            <w:r w:rsidRPr="00577521">
              <w:rPr>
                <w:rFonts w:cs="Open Sans"/>
                <w:i/>
                <w:sz w:val="20"/>
                <w:szCs w:val="20"/>
              </w:rPr>
              <w:t xml:space="preserve"> und </w:t>
            </w:r>
            <w:r w:rsidRPr="00577521">
              <w:rPr>
                <w:rFonts w:cs="Open Sans"/>
                <w:i/>
                <w:sz w:val="20"/>
                <w:szCs w:val="20"/>
                <w:u w:val="single"/>
              </w:rPr>
              <w:t>dessen</w:t>
            </w:r>
            <w:r w:rsidRPr="00577521">
              <w:rPr>
                <w:rFonts w:cs="Open Sans"/>
                <w:i/>
                <w:sz w:val="20"/>
                <w:szCs w:val="20"/>
              </w:rPr>
              <w:t xml:space="preserve"> Mehrheitsfraktion hervor. </w:t>
            </w:r>
            <w:r w:rsidRPr="00577521">
              <w:rPr>
                <w:rFonts w:cs="Open Sans"/>
                <w:i/>
                <w:sz w:val="20"/>
                <w:szCs w:val="20"/>
                <w:u w:val="single"/>
              </w:rPr>
              <w:t>Dabei</w:t>
            </w:r>
            <w:r w:rsidRPr="00577521">
              <w:rPr>
                <w:rFonts w:cs="Open Sans"/>
                <w:i/>
                <w:sz w:val="20"/>
                <w:szCs w:val="20"/>
              </w:rPr>
              <w:t xml:space="preserve"> sind die Mitglieder der Regierung in der Regel auch Mitglieder des Parlaments. </w:t>
            </w:r>
            <w:r w:rsidRPr="00577521">
              <w:rPr>
                <w:rFonts w:cs="Open Sans"/>
                <w:i/>
                <w:sz w:val="20"/>
                <w:szCs w:val="20"/>
                <w:u w:val="single"/>
              </w:rPr>
              <w:t>Also</w:t>
            </w:r>
            <w:r w:rsidRPr="00577521">
              <w:rPr>
                <w:rFonts w:cs="Open Sans"/>
                <w:i/>
                <w:sz w:val="20"/>
                <w:szCs w:val="20"/>
              </w:rPr>
              <w:t xml:space="preserve"> werden Regierung und Parlamentsmehrheit von der Opposition kontrolliert. </w:t>
            </w:r>
          </w:p>
          <w:p w14:paraId="197596B6" w14:textId="2377F375" w:rsidR="006A23BC" w:rsidRPr="00577521" w:rsidRDefault="00477D8C" w:rsidP="006A23BC">
            <w:pPr>
              <w:spacing w:after="0" w:line="240" w:lineRule="auto"/>
              <w:rPr>
                <w:rFonts w:cs="Open Sans"/>
                <w:b/>
                <w:sz w:val="20"/>
                <w:szCs w:val="20"/>
              </w:rPr>
            </w:pPr>
            <w:r>
              <w:rPr>
                <w:rFonts w:cs="Open Sans"/>
                <w:b/>
                <w:sz w:val="20"/>
                <w:szCs w:val="20"/>
              </w:rPr>
              <w:t xml:space="preserve">weitere </w:t>
            </w:r>
            <w:r w:rsidR="006A23BC" w:rsidRPr="00577521">
              <w:rPr>
                <w:rFonts w:cs="Open Sans"/>
                <w:b/>
                <w:sz w:val="20"/>
                <w:szCs w:val="20"/>
              </w:rPr>
              <w:t>Darstellungsformen</w:t>
            </w:r>
            <w:r>
              <w:rPr>
                <w:rFonts w:cs="Open Sans"/>
                <w:b/>
                <w:sz w:val="20"/>
                <w:szCs w:val="20"/>
              </w:rPr>
              <w:t>:</w:t>
            </w:r>
          </w:p>
          <w:p w14:paraId="4F237E90" w14:textId="77777777" w:rsidR="006A23BC" w:rsidRPr="00577521" w:rsidRDefault="006A23BC" w:rsidP="006A23BC">
            <w:pPr>
              <w:spacing w:after="0" w:line="240" w:lineRule="auto"/>
              <w:rPr>
                <w:rFonts w:cs="Open Sans"/>
                <w:sz w:val="20"/>
                <w:szCs w:val="20"/>
              </w:rPr>
            </w:pPr>
            <w:r w:rsidRPr="00577521">
              <w:rPr>
                <w:rFonts w:cs="Open Sans"/>
                <w:sz w:val="20"/>
                <w:szCs w:val="20"/>
              </w:rPr>
              <w:t>Verknüpfung von Text und Abbildungen</w:t>
            </w:r>
            <w:r>
              <w:rPr>
                <w:rFonts w:cs="Open Sans"/>
                <w:sz w:val="20"/>
                <w:szCs w:val="20"/>
              </w:rPr>
              <w:t xml:space="preserve">; </w:t>
            </w:r>
            <w:r w:rsidRPr="00577521">
              <w:rPr>
                <w:rFonts w:cs="Open Sans"/>
                <w:sz w:val="20"/>
                <w:szCs w:val="20"/>
              </w:rPr>
              <w:t>Kapiteltitel</w:t>
            </w:r>
            <w:r>
              <w:rPr>
                <w:rFonts w:cs="Open Sans"/>
                <w:sz w:val="20"/>
                <w:szCs w:val="20"/>
              </w:rPr>
              <w:t xml:space="preserve">; </w:t>
            </w:r>
            <w:r w:rsidRPr="00577521">
              <w:rPr>
                <w:rFonts w:cs="Open Sans"/>
                <w:sz w:val="20"/>
                <w:szCs w:val="20"/>
              </w:rPr>
              <w:t>Überschrift</w:t>
            </w:r>
            <w:r>
              <w:rPr>
                <w:rFonts w:cs="Open Sans"/>
                <w:sz w:val="20"/>
                <w:szCs w:val="20"/>
              </w:rPr>
              <w:t xml:space="preserve">; </w:t>
            </w:r>
            <w:r w:rsidRPr="00577521">
              <w:rPr>
                <w:rFonts w:cs="Open Sans"/>
                <w:sz w:val="20"/>
                <w:szCs w:val="20"/>
              </w:rPr>
              <w:t>Zwischenüberschriften</w:t>
            </w:r>
            <w:r>
              <w:rPr>
                <w:rFonts w:cs="Open Sans"/>
                <w:sz w:val="20"/>
                <w:szCs w:val="20"/>
              </w:rPr>
              <w:t xml:space="preserve">; </w:t>
            </w:r>
            <w:r w:rsidRPr="00577521">
              <w:rPr>
                <w:rFonts w:cs="Open Sans"/>
                <w:sz w:val="20"/>
                <w:szCs w:val="20"/>
              </w:rPr>
              <w:t>Legende zu Abbildung</w:t>
            </w:r>
          </w:p>
        </w:tc>
      </w:tr>
    </w:tbl>
    <w:p w14:paraId="0FD08CB8" w14:textId="77777777" w:rsidR="00AA57A7" w:rsidRPr="006A23BC" w:rsidRDefault="00AA57A7" w:rsidP="00AA57A7">
      <w:pPr>
        <w:spacing w:after="0" w:line="240" w:lineRule="auto"/>
        <w:jc w:val="both"/>
        <w:rPr>
          <w:rFonts w:cs="Open Sans"/>
          <w:sz w:val="4"/>
        </w:rPr>
      </w:pPr>
    </w:p>
    <w:sectPr w:rsidR="00AA57A7" w:rsidRPr="006A23BC" w:rsidSect="00CB00DD">
      <w:headerReference w:type="even" r:id="rId6"/>
      <w:headerReference w:type="default" r:id="rId7"/>
      <w:footerReference w:type="even" r:id="rId8"/>
      <w:footerReference w:type="default" r:id="rId9"/>
      <w:headerReference w:type="first" r:id="rId10"/>
      <w:footerReference w:type="first" r:id="rId11"/>
      <w:pgSz w:w="11906" w:h="16838"/>
      <w:pgMar w:top="1985" w:right="1276" w:bottom="1276" w:left="1276"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A5655" w14:textId="77777777" w:rsidR="00FB2D03" w:rsidRDefault="00FB2D03" w:rsidP="00CB00DD">
      <w:r>
        <w:separator/>
      </w:r>
    </w:p>
  </w:endnote>
  <w:endnote w:type="continuationSeparator" w:id="0">
    <w:p w14:paraId="635F9C30" w14:textId="77777777" w:rsidR="00FB2D03" w:rsidRDefault="00FB2D03" w:rsidP="00CB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gfa Rotis Sans Serif Light">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tis Sans Serif Std Light">
    <w:panose1 w:val="00000000000000000000"/>
    <w:charset w:val="00"/>
    <w:family w:val="swiss"/>
    <w:notTrueType/>
    <w:pitch w:val="variable"/>
    <w:sig w:usb0="00000003" w:usb1="00000001" w:usb2="00000000" w:usb3="00000000" w:csb0="00000001"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F3FA3" w14:textId="77777777" w:rsidR="00952778" w:rsidRDefault="0095277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2072231074"/>
        <w:docPartObj>
          <w:docPartGallery w:val="Page Numbers (Bottom of Page)"/>
          <w:docPartUnique/>
        </w:docPartObj>
      </w:sdtPr>
      <w:sdtEndPr>
        <w:rPr>
          <w:rFonts w:ascii="Open Sans" w:eastAsiaTheme="minorHAnsi" w:hAnsi="Open Sans" w:cs="Open Sans"/>
          <w:sz w:val="22"/>
          <w:szCs w:val="22"/>
        </w:rPr>
      </w:sdtEndPr>
      <w:sdtContent>
        <w:tr w:rsidR="00CB00DD" w14:paraId="64C986D1" w14:textId="77777777" w:rsidTr="00CB00DD">
          <w:trPr>
            <w:trHeight w:val="727"/>
          </w:trPr>
          <w:tc>
            <w:tcPr>
              <w:tcW w:w="4000" w:type="pct"/>
              <w:tcBorders>
                <w:right w:val="double" w:sz="4" w:space="0" w:color="auto"/>
              </w:tcBorders>
            </w:tcPr>
            <w:p w14:paraId="64C986CF" w14:textId="6D8603A1" w:rsidR="00CB00DD" w:rsidRDefault="007C0AB4" w:rsidP="007C0AB4">
              <w:pPr>
                <w:tabs>
                  <w:tab w:val="left" w:pos="620"/>
                  <w:tab w:val="center" w:pos="4320"/>
                </w:tabs>
                <w:ind w:left="-108"/>
                <w:rPr>
                  <w:rFonts w:asciiTheme="majorHAnsi" w:eastAsiaTheme="majorEastAsia" w:hAnsiTheme="majorHAnsi" w:cstheme="majorBidi"/>
                  <w:sz w:val="20"/>
                  <w:szCs w:val="20"/>
                </w:rPr>
              </w:pPr>
              <w:r>
                <w:rPr>
                  <w:noProof/>
                  <w:lang w:eastAsia="de-DE"/>
                </w:rPr>
                <w:drawing>
                  <wp:inline distT="0" distB="0" distL="0" distR="0" wp14:anchorId="49462290" wp14:editId="22A8B785">
                    <wp:extent cx="961200" cy="360000"/>
                    <wp:effectExtent l="0" t="0" r="0" b="2540"/>
                    <wp:docPr id="2" name="Grafik 2" descr="C:\Users\ajaeger\AppData\Local\Microsoft\Windows\INetCache\Content.Word\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aeger\AppData\Local\Microsoft\Windows\INetCache\Content.Word\L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inline>
                </w:drawing>
              </w:r>
            </w:p>
          </w:tc>
          <w:tc>
            <w:tcPr>
              <w:tcW w:w="1000" w:type="pct"/>
              <w:tcBorders>
                <w:left w:val="double" w:sz="4" w:space="0" w:color="auto"/>
              </w:tcBorders>
            </w:tcPr>
            <w:p w14:paraId="64C986D0" w14:textId="71AA17C9" w:rsidR="00CB00DD" w:rsidRPr="00CB00DD" w:rsidRDefault="00CB00DD">
              <w:pPr>
                <w:tabs>
                  <w:tab w:val="left" w:pos="1490"/>
                </w:tabs>
                <w:rPr>
                  <w:rFonts w:ascii="Open Sans" w:eastAsiaTheme="majorEastAsia" w:hAnsi="Open Sans" w:cs="Open Sans"/>
                  <w:szCs w:val="28"/>
                </w:rPr>
              </w:pPr>
              <w:r w:rsidRPr="00CB00DD">
                <w:rPr>
                  <w:rFonts w:ascii="Open Sans" w:hAnsi="Open Sans" w:cs="Open Sans"/>
                </w:rPr>
                <w:fldChar w:fldCharType="begin"/>
              </w:r>
              <w:r w:rsidRPr="00CB00DD">
                <w:rPr>
                  <w:rFonts w:ascii="Open Sans" w:hAnsi="Open Sans" w:cs="Open Sans"/>
                </w:rPr>
                <w:instrText>PAGE    \* MERGEFORMAT</w:instrText>
              </w:r>
              <w:r w:rsidRPr="00CB00DD">
                <w:rPr>
                  <w:rFonts w:ascii="Open Sans" w:hAnsi="Open Sans" w:cs="Open Sans"/>
                </w:rPr>
                <w:fldChar w:fldCharType="separate"/>
              </w:r>
              <w:r w:rsidR="00191045">
                <w:rPr>
                  <w:rFonts w:ascii="Open Sans" w:hAnsi="Open Sans" w:cs="Open Sans"/>
                  <w:noProof/>
                </w:rPr>
                <w:t>1</w:t>
              </w:r>
              <w:r w:rsidRPr="00CB00DD">
                <w:rPr>
                  <w:rFonts w:ascii="Open Sans" w:hAnsi="Open Sans" w:cs="Open Sans"/>
                </w:rPr>
                <w:fldChar w:fldCharType="end"/>
              </w:r>
            </w:p>
          </w:tc>
        </w:tr>
      </w:sdtContent>
    </w:sdt>
  </w:tbl>
  <w:p w14:paraId="64C986D2" w14:textId="77777777" w:rsidR="00CB00DD" w:rsidRDefault="00CB00DD">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B4D40" w14:textId="77777777" w:rsidR="00952778" w:rsidRDefault="0095277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DB9BF" w14:textId="77777777" w:rsidR="00FB2D03" w:rsidRDefault="00FB2D03" w:rsidP="00CB00DD">
      <w:r>
        <w:separator/>
      </w:r>
    </w:p>
  </w:footnote>
  <w:footnote w:type="continuationSeparator" w:id="0">
    <w:p w14:paraId="19023511" w14:textId="77777777" w:rsidR="00FB2D03" w:rsidRDefault="00FB2D03" w:rsidP="00CB00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B7C89" w14:textId="77777777" w:rsidR="00952778" w:rsidRDefault="00952778">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86CB" w14:textId="1107707E" w:rsidR="00CB00DD" w:rsidRPr="00D35885" w:rsidRDefault="00CB00DD">
    <w:pPr>
      <w:pStyle w:val="Kopfzeile"/>
      <w:rPr>
        <w:rFonts w:asciiTheme="minorHAnsi" w:hAnsiTheme="minorHAnsi" w:cs="Open Sans"/>
        <w:sz w:val="22"/>
        <w:szCs w:val="22"/>
      </w:rPr>
    </w:pPr>
    <w:r w:rsidRPr="00D35885">
      <w:rPr>
        <w:rFonts w:asciiTheme="minorHAnsi" w:hAnsiTheme="minorHAnsi" w:cs="Open Sans"/>
        <w:sz w:val="22"/>
        <w:szCs w:val="22"/>
      </w:rPr>
      <w:t>Handreichung „</w:t>
    </w:r>
    <w:r w:rsidR="00952778">
      <w:rPr>
        <w:rFonts w:asciiTheme="minorHAnsi" w:hAnsiTheme="minorHAnsi" w:cs="Open Sans"/>
        <w:sz w:val="22"/>
        <w:szCs w:val="22"/>
      </w:rPr>
      <w:t>Sprachbildung im Fach</w:t>
    </w:r>
    <w:r w:rsidRPr="00D35885">
      <w:rPr>
        <w:rFonts w:asciiTheme="minorHAnsi" w:hAnsiTheme="minorHAnsi" w:cs="Open Sans"/>
        <w:sz w:val="22"/>
        <w:szCs w:val="22"/>
      </w:rPr>
      <w:t>“</w:t>
    </w:r>
  </w:p>
  <w:p w14:paraId="64C986CC" w14:textId="2B2C54BA" w:rsidR="00CB00DD" w:rsidRPr="00D35885" w:rsidRDefault="00CB00DD">
    <w:pPr>
      <w:pStyle w:val="Kopfzeile"/>
      <w:rPr>
        <w:rFonts w:asciiTheme="minorHAnsi" w:hAnsiTheme="minorHAnsi" w:cs="Open Sans"/>
        <w:sz w:val="22"/>
        <w:szCs w:val="22"/>
      </w:rPr>
    </w:pPr>
    <w:r w:rsidRPr="00D35885">
      <w:rPr>
        <w:rFonts w:asciiTheme="minorHAnsi" w:hAnsiTheme="minorHAnsi" w:cs="Open Sans"/>
        <w:sz w:val="22"/>
        <w:szCs w:val="22"/>
      </w:rPr>
      <w:t>M</w:t>
    </w:r>
    <w:r w:rsidR="007C0AB4">
      <w:rPr>
        <w:rFonts w:asciiTheme="minorHAnsi" w:hAnsiTheme="minorHAnsi" w:cs="Open Sans"/>
        <w:sz w:val="22"/>
        <w:szCs w:val="22"/>
      </w:rPr>
      <w:t>aterial zu Fortbildungsbaustein 5</w:t>
    </w:r>
    <w:r w:rsidRPr="00D35885">
      <w:rPr>
        <w:rFonts w:asciiTheme="minorHAnsi" w:hAnsiTheme="minorHAnsi" w:cs="Open Sans"/>
        <w:sz w:val="22"/>
        <w:szCs w:val="22"/>
      </w:rPr>
      <w:t>:</w:t>
    </w:r>
  </w:p>
  <w:p w14:paraId="64C986CD" w14:textId="55B068C3" w:rsidR="00CB00DD" w:rsidRPr="00D35885" w:rsidRDefault="00CB00DD">
    <w:pPr>
      <w:pStyle w:val="Kopfzeile"/>
      <w:rPr>
        <w:rFonts w:asciiTheme="minorHAnsi" w:hAnsiTheme="minorHAnsi" w:cs="Open Sans"/>
        <w:sz w:val="22"/>
        <w:szCs w:val="22"/>
      </w:rPr>
    </w:pPr>
    <w:r w:rsidRPr="00D35885">
      <w:rPr>
        <w:rFonts w:asciiTheme="minorHAnsi" w:hAnsiTheme="minorHAnsi" w:cs="Open Sans"/>
        <w:sz w:val="22"/>
        <w:szCs w:val="22"/>
      </w:rPr>
      <w:t>„</w:t>
    </w:r>
    <w:r w:rsidRPr="00D35885">
      <w:rPr>
        <w:rFonts w:asciiTheme="minorHAnsi" w:hAnsiTheme="minorHAnsi" w:cs="Open Sans"/>
        <w:noProof/>
        <w:sz w:val="22"/>
        <w:szCs w:val="22"/>
        <w:lang w:eastAsia="de-DE"/>
      </w:rPr>
      <w:drawing>
        <wp:anchor distT="0" distB="0" distL="114300" distR="114300" simplePos="0" relativeHeight="251659264" behindDoc="1" locked="0" layoutInCell="1" allowOverlap="1" wp14:anchorId="64C986D5" wp14:editId="64C986D6">
          <wp:simplePos x="0" y="0"/>
          <wp:positionH relativeFrom="rightMargin">
            <wp:posOffset>-1742440</wp:posOffset>
          </wp:positionH>
          <wp:positionV relativeFrom="topMargin">
            <wp:posOffset>360045</wp:posOffset>
          </wp:positionV>
          <wp:extent cx="1724400" cy="788400"/>
          <wp:effectExtent l="0" t="0" r="0" b="0"/>
          <wp:wrapNone/>
          <wp:docPr id="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416_umbruechegestalten_O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400" cy="788400"/>
                  </a:xfrm>
                  <a:prstGeom prst="rect">
                    <a:avLst/>
                  </a:prstGeom>
                </pic:spPr>
              </pic:pic>
            </a:graphicData>
          </a:graphic>
          <wp14:sizeRelH relativeFrom="margin">
            <wp14:pctWidth>0</wp14:pctWidth>
          </wp14:sizeRelH>
          <wp14:sizeRelV relativeFrom="margin">
            <wp14:pctHeight>0</wp14:pctHeight>
          </wp14:sizeRelV>
        </wp:anchor>
      </w:drawing>
    </w:r>
    <w:r w:rsidR="007C0AB4">
      <w:rPr>
        <w:rFonts w:asciiTheme="minorHAnsi" w:hAnsiTheme="minorHAnsi" w:cs="Open Sans"/>
        <w:sz w:val="22"/>
        <w:szCs w:val="22"/>
      </w:rPr>
      <w:t>Sprache im Fach</w:t>
    </w:r>
    <w:r w:rsidRPr="00D35885">
      <w:rPr>
        <w:rFonts w:asciiTheme="minorHAnsi" w:hAnsiTheme="minorHAnsi" w:cs="Open Sans"/>
        <w:sz w:val="22"/>
        <w:szCs w:val="22"/>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203A" w14:textId="77777777" w:rsidR="00952778" w:rsidRDefault="0095277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0DD"/>
    <w:rsid w:val="000F1C01"/>
    <w:rsid w:val="00191045"/>
    <w:rsid w:val="001938C5"/>
    <w:rsid w:val="002C5539"/>
    <w:rsid w:val="00477D8C"/>
    <w:rsid w:val="006A23BC"/>
    <w:rsid w:val="007C0AB4"/>
    <w:rsid w:val="00876714"/>
    <w:rsid w:val="008A73C5"/>
    <w:rsid w:val="00952778"/>
    <w:rsid w:val="009C179B"/>
    <w:rsid w:val="00AA57A7"/>
    <w:rsid w:val="00CB00DD"/>
    <w:rsid w:val="00D35885"/>
    <w:rsid w:val="00E0524A"/>
    <w:rsid w:val="00ED7BEE"/>
    <w:rsid w:val="00F21AC1"/>
    <w:rsid w:val="00F61B84"/>
    <w:rsid w:val="00FB2D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986C3"/>
  <w15:chartTrackingRefBased/>
  <w15:docId w15:val="{8FE73A5C-A7B2-4613-9961-E38E4D26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gfa Rotis Sans Serif Light" w:eastAsiaTheme="minorHAnsi" w:hAnsi="Agfa Rotis Sans Serif Light"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38C5"/>
    <w:pPr>
      <w:spacing w:after="200" w:line="276" w:lineRule="auto"/>
    </w:pPr>
    <w:rPr>
      <w:rFonts w:asciiTheme="minorHAnsi" w:hAnsiTheme="min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00DD"/>
    <w:pPr>
      <w:tabs>
        <w:tab w:val="center" w:pos="4536"/>
        <w:tab w:val="right" w:pos="9072"/>
      </w:tabs>
      <w:spacing w:after="0" w:line="240" w:lineRule="auto"/>
    </w:pPr>
    <w:rPr>
      <w:rFonts w:ascii="Rotis Sans Serif Std Light" w:hAnsi="Rotis Sans Serif Std Light"/>
      <w:sz w:val="24"/>
      <w:szCs w:val="24"/>
    </w:rPr>
  </w:style>
  <w:style w:type="character" w:customStyle="1" w:styleId="KopfzeileZchn">
    <w:name w:val="Kopfzeile Zchn"/>
    <w:basedOn w:val="Absatz-Standardschriftart"/>
    <w:link w:val="Kopfzeile"/>
    <w:uiPriority w:val="99"/>
    <w:rsid w:val="00CB00DD"/>
    <w:rPr>
      <w:rFonts w:ascii="Rotis Sans Serif Std Light" w:hAnsi="Rotis Sans Serif Std Light"/>
    </w:rPr>
  </w:style>
  <w:style w:type="paragraph" w:styleId="Fuzeile">
    <w:name w:val="footer"/>
    <w:basedOn w:val="Standard"/>
    <w:link w:val="FuzeileZchn"/>
    <w:uiPriority w:val="99"/>
    <w:unhideWhenUsed/>
    <w:rsid w:val="00CB00DD"/>
    <w:pPr>
      <w:tabs>
        <w:tab w:val="center" w:pos="4536"/>
        <w:tab w:val="right" w:pos="9072"/>
      </w:tabs>
      <w:spacing w:after="0" w:line="240" w:lineRule="auto"/>
    </w:pPr>
    <w:rPr>
      <w:rFonts w:ascii="Rotis Sans Serif Std Light" w:hAnsi="Rotis Sans Serif Std Light"/>
      <w:sz w:val="24"/>
      <w:szCs w:val="24"/>
    </w:rPr>
  </w:style>
  <w:style w:type="character" w:customStyle="1" w:styleId="FuzeileZchn">
    <w:name w:val="Fußzeile Zchn"/>
    <w:basedOn w:val="Absatz-Standardschriftart"/>
    <w:link w:val="Fuzeile"/>
    <w:uiPriority w:val="99"/>
    <w:rsid w:val="00CB00DD"/>
    <w:rPr>
      <w:rFonts w:ascii="Rotis Sans Serif Std Light" w:hAnsi="Rotis Sans Serif Std Light"/>
    </w:rPr>
  </w:style>
  <w:style w:type="table" w:styleId="Tabellenraster">
    <w:name w:val="Table Grid"/>
    <w:basedOn w:val="NormaleTabelle"/>
    <w:uiPriority w:val="39"/>
    <w:rsid w:val="001938C5"/>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463</Words>
  <Characters>2917</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Jäger</dc:creator>
  <cp:keywords/>
  <dc:description/>
  <cp:lastModifiedBy>Heidi Seifert</cp:lastModifiedBy>
  <cp:revision>2</cp:revision>
  <dcterms:created xsi:type="dcterms:W3CDTF">2020-08-25T10:16:00Z</dcterms:created>
  <dcterms:modified xsi:type="dcterms:W3CDTF">2020-08-25T10:16:00Z</dcterms:modified>
</cp:coreProperties>
</file>