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9226" w14:textId="77777777" w:rsidR="004A2148" w:rsidRDefault="00AC493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Sprachliche Merkmale von Bildungs- und Fachsprache</w:t>
      </w:r>
      <w:r>
        <w:rPr>
          <w:rStyle w:val="Funotenzeichen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</w:t>
      </w:r>
    </w:p>
    <w:p w14:paraId="13806E16" w14:textId="77777777" w:rsidR="004A2148" w:rsidRDefault="00AC4930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Die Begriffe Bildungssprache und Fachsprache lassen sich nicht scharf voneinander trennen, da be</w:t>
      </w:r>
      <w:r>
        <w:rPr>
          <w:sz w:val="23"/>
          <w:szCs w:val="23"/>
        </w:rPr>
        <w:t>stimmte sprachliche Mittel sowohl in der Bildungs- als auch in der Fachsprache genutzt werden. Wichtige Funktionen, die der Bildungs- und Fachsprache zugeschrieben werden, sind: Informationsverdichtung, Differenzierung und Präzisierung, Dekontextualisierun</w:t>
      </w:r>
      <w:r>
        <w:rPr>
          <w:sz w:val="23"/>
          <w:szCs w:val="23"/>
        </w:rPr>
        <w:t xml:space="preserve">g, Entpersonalisierung, Sachlichkeit und Distanzierung, argumentative Klarheit. </w:t>
      </w:r>
    </w:p>
    <w:p w14:paraId="410BF0E6" w14:textId="77777777" w:rsidR="004A2148" w:rsidRDefault="00AC4930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Diese kommunikativen Ziele gehen mit einigen sprachlichen Merkmalen einher, die man in der Alltagssprache nicht gleichermaßen häufig vorfindet. Einige Beispiele:</w:t>
      </w:r>
    </w:p>
    <w:p w14:paraId="02257629" w14:textId="77777777" w:rsidR="004A2148" w:rsidRDefault="00AC4930">
      <w:pPr>
        <w:spacing w:before="360" w:after="240" w:line="240" w:lineRule="auto"/>
        <w:jc w:val="both"/>
        <w:rPr>
          <w:b/>
          <w:color w:val="404040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Wortebene</w:t>
      </w:r>
    </w:p>
    <w:p w14:paraId="7232A4C2" w14:textId="77777777" w:rsidR="004A2148" w:rsidRDefault="00AC4930">
      <w:pPr>
        <w:pStyle w:val="Listenabsatz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all</w:t>
      </w:r>
      <w:r>
        <w:rPr>
          <w:b/>
          <w:sz w:val="23"/>
          <w:szCs w:val="23"/>
        </w:rPr>
        <w:t xml:space="preserve">tagssprachliche Wörter, die fachsprachlich eine Bedeutungsverschiebung erfahren: </w:t>
      </w:r>
    </w:p>
    <w:p w14:paraId="1BE7AA94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Zelle </w:t>
      </w:r>
      <w:r>
        <w:rPr>
          <w:sz w:val="23"/>
          <w:szCs w:val="23"/>
        </w:rPr>
        <w:t>„kleinste lebende Einheit von Organismen“</w:t>
      </w:r>
    </w:p>
    <w:p w14:paraId="2187C32A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>Narbe</w:t>
      </w:r>
      <w:r>
        <w:rPr>
          <w:sz w:val="23"/>
          <w:szCs w:val="23"/>
        </w:rPr>
        <w:t xml:space="preserve"> „klebriger Teil des Fruchtblattes einer Blüte“ </w:t>
      </w:r>
    </w:p>
    <w:p w14:paraId="7056DC1A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>Wirt</w:t>
      </w:r>
      <w:r>
        <w:rPr>
          <w:sz w:val="23"/>
          <w:szCs w:val="23"/>
        </w:rPr>
        <w:t xml:space="preserve"> „größerer Partner einer (parasitischen) Lebensgemeinschaft“</w:t>
      </w:r>
    </w:p>
    <w:p w14:paraId="4F46B3FA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Kraft </w:t>
      </w:r>
      <w:r>
        <w:rPr>
          <w:sz w:val="23"/>
          <w:szCs w:val="23"/>
        </w:rPr>
        <w:t>„</w:t>
      </w:r>
      <w:r>
        <w:rPr>
          <w:sz w:val="23"/>
          <w:szCs w:val="23"/>
        </w:rPr>
        <w:t>Produkt von Masse und Beschleunigung“</w:t>
      </w:r>
    </w:p>
    <w:p w14:paraId="66735243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Maus </w:t>
      </w:r>
      <w:r>
        <w:rPr>
          <w:sz w:val="23"/>
          <w:szCs w:val="23"/>
        </w:rPr>
        <w:t>„Eingabegerät für Computer“</w:t>
      </w:r>
    </w:p>
    <w:p w14:paraId="7127C960" w14:textId="77777777" w:rsidR="004A2148" w:rsidRDefault="00AC4930">
      <w:pPr>
        <w:pStyle w:val="Listenabsatz"/>
        <w:numPr>
          <w:ilvl w:val="0"/>
          <w:numId w:val="5"/>
        </w:numPr>
        <w:spacing w:before="240" w:after="120" w:line="240" w:lineRule="auto"/>
        <w:ind w:left="284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 xml:space="preserve">Fachwörter – z. T. in Kombination mit Abkürzungen, Ziffern und Sonderzeichen: </w:t>
      </w:r>
      <w:r>
        <w:rPr>
          <w:sz w:val="23"/>
          <w:szCs w:val="23"/>
        </w:rPr>
        <w:t xml:space="preserve"> </w:t>
      </w:r>
    </w:p>
    <w:p w14:paraId="1E655D71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Muffe</w:t>
      </w:r>
    </w:p>
    <w:p w14:paraId="31BE6B61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Cluster</w:t>
      </w:r>
    </w:p>
    <w:p w14:paraId="712A2BF9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Perfusion </w:t>
      </w:r>
    </w:p>
    <w:p w14:paraId="79E5D116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>Protein</w:t>
      </w:r>
    </w:p>
    <w:p w14:paraId="00932CE9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Cu</w:t>
      </w:r>
      <w:r>
        <w:rPr>
          <w:i/>
          <w:sz w:val="23"/>
          <w:szCs w:val="23"/>
          <w:vertAlign w:val="superscript"/>
        </w:rPr>
        <w:t>2+</w:t>
      </w:r>
      <w:r>
        <w:rPr>
          <w:i/>
          <w:sz w:val="23"/>
          <w:szCs w:val="23"/>
        </w:rPr>
        <w:t>-Ionen</w:t>
      </w:r>
    </w:p>
    <w:p w14:paraId="292E9A1F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L-3-Hydroxyacyl-CoA-Dehydrogenase</w:t>
      </w:r>
    </w:p>
    <w:p w14:paraId="7BDB68EE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rFonts w:eastAsia="Times New Roman"/>
          <w:i/>
          <w:sz w:val="23"/>
          <w:szCs w:val="23"/>
        </w:rPr>
        <w:t>(9Z,12Z,15</w:t>
      </w:r>
      <w:proofErr w:type="gramStart"/>
      <w:r>
        <w:rPr>
          <w:rFonts w:eastAsia="Times New Roman"/>
          <w:i/>
          <w:sz w:val="23"/>
          <w:szCs w:val="23"/>
        </w:rPr>
        <w:t>Z)-</w:t>
      </w:r>
      <w:proofErr w:type="gramEnd"/>
      <w:r>
        <w:rPr>
          <w:rFonts w:eastAsia="Times New Roman"/>
          <w:i/>
          <w:sz w:val="23"/>
          <w:szCs w:val="23"/>
        </w:rPr>
        <w:t>Octadeca-9,12,</w:t>
      </w:r>
      <w:r>
        <w:rPr>
          <w:rFonts w:eastAsia="Times New Roman"/>
          <w:i/>
          <w:sz w:val="23"/>
          <w:szCs w:val="23"/>
        </w:rPr>
        <w:t>15-triensäure</w:t>
      </w:r>
      <w:r>
        <w:rPr>
          <w:sz w:val="23"/>
          <w:szCs w:val="23"/>
        </w:rPr>
        <w:t xml:space="preserve"> </w:t>
      </w:r>
    </w:p>
    <w:p w14:paraId="2B557DB7" w14:textId="77777777" w:rsidR="004A2148" w:rsidRDefault="00AC4930">
      <w:pPr>
        <w:pStyle w:val="Listenabsatz"/>
        <w:numPr>
          <w:ilvl w:val="0"/>
          <w:numId w:val="5"/>
        </w:numPr>
        <w:spacing w:before="240" w:after="12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Fachwörter in Form von Nominalisierungen: </w:t>
      </w:r>
    </w:p>
    <w:p w14:paraId="09C4B278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die Gleichheit</w:t>
      </w:r>
    </w:p>
    <w:p w14:paraId="59FF6907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die Erwärmung </w:t>
      </w:r>
    </w:p>
    <w:p w14:paraId="366D1DAA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der (elektrische) Leiter</w:t>
      </w:r>
    </w:p>
    <w:p w14:paraId="1317E0B9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das Verbrennen </w:t>
      </w:r>
    </w:p>
    <w:p w14:paraId="1614C425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das Vertauschen (der Bruchzahlen)</w:t>
      </w:r>
    </w:p>
    <w:p w14:paraId="35B575FD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der Versuch</w:t>
      </w:r>
    </w:p>
    <w:p w14:paraId="0D7C4DBE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der Aufbau</w:t>
      </w:r>
    </w:p>
    <w:p w14:paraId="74BF3BE6" w14:textId="77777777" w:rsidR="004A2148" w:rsidRDefault="00AC4930">
      <w:pPr>
        <w:pStyle w:val="Listenabsatz"/>
        <w:numPr>
          <w:ilvl w:val="0"/>
          <w:numId w:val="5"/>
        </w:numPr>
        <w:spacing w:before="240" w:after="12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Fachwörter in Form von Komposita (zusammengesetzten Nomen und Adjektiven): </w:t>
      </w:r>
    </w:p>
    <w:p w14:paraId="6769EA80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Pflanzenschutzmittel </w:t>
      </w:r>
    </w:p>
    <w:p w14:paraId="65562BC1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Energiedifferenz</w:t>
      </w:r>
    </w:p>
    <w:p w14:paraId="35D98399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>kohlenstoffdioxidneutral</w:t>
      </w:r>
      <w:r>
        <w:rPr>
          <w:sz w:val="23"/>
          <w:szCs w:val="23"/>
        </w:rPr>
        <w:t xml:space="preserve"> </w:t>
      </w:r>
    </w:p>
    <w:p w14:paraId="749A616A" w14:textId="77777777" w:rsidR="004A2148" w:rsidRDefault="00AC4930">
      <w:pPr>
        <w:spacing w:after="0" w:line="240" w:lineRule="auto"/>
        <w:jc w:val="both"/>
        <w:rPr>
          <w:b/>
          <w:color w:val="404040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br w:type="page"/>
      </w:r>
    </w:p>
    <w:p w14:paraId="619821BB" w14:textId="77777777" w:rsidR="004A2148" w:rsidRDefault="00AC4930">
      <w:pPr>
        <w:spacing w:after="240" w:line="240" w:lineRule="auto"/>
        <w:jc w:val="both"/>
        <w:rPr>
          <w:b/>
          <w:color w:val="404040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lastRenderedPageBreak/>
        <w:t>Satzebene</w:t>
      </w:r>
    </w:p>
    <w:p w14:paraId="2452F773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Attribute (komplexe Beifügungen zu Nomen): </w:t>
      </w:r>
    </w:p>
    <w:p w14:paraId="1DEBBB90" w14:textId="77777777" w:rsidR="004A2148" w:rsidRDefault="00AC4930">
      <w:pPr>
        <w:pStyle w:val="Listenabsatz"/>
        <w:numPr>
          <w:ilvl w:val="0"/>
          <w:numId w:val="7"/>
        </w:numPr>
        <w:spacing w:after="0" w:line="240" w:lineRule="auto"/>
        <w:ind w:left="567" w:hanging="283"/>
        <w:rPr>
          <w:sz w:val="23"/>
          <w:szCs w:val="23"/>
        </w:rPr>
      </w:pPr>
      <w:r>
        <w:rPr>
          <w:i/>
          <w:sz w:val="23"/>
          <w:szCs w:val="23"/>
        </w:rPr>
        <w:t xml:space="preserve">der </w:t>
      </w:r>
      <w:r>
        <w:rPr>
          <w:i/>
          <w:sz w:val="23"/>
          <w:szCs w:val="23"/>
          <w:u w:val="single"/>
        </w:rPr>
        <w:t>in Sedimenten, im Tiefenwasser der Ozeane sowie in Kohl</w:t>
      </w:r>
      <w:r>
        <w:rPr>
          <w:i/>
          <w:sz w:val="23"/>
          <w:szCs w:val="23"/>
          <w:u w:val="single"/>
        </w:rPr>
        <w:t xml:space="preserve">e, Erdöl und Erdgas gespeicherte </w:t>
      </w:r>
      <w:r>
        <w:rPr>
          <w:i/>
          <w:sz w:val="23"/>
          <w:szCs w:val="23"/>
        </w:rPr>
        <w:t>Kohlenstoff</w:t>
      </w:r>
      <w:r>
        <w:rPr>
          <w:sz w:val="23"/>
          <w:szCs w:val="23"/>
        </w:rPr>
        <w:t xml:space="preserve"> </w:t>
      </w:r>
    </w:p>
    <w:p w14:paraId="77875368" w14:textId="77777777" w:rsidR="004A2148" w:rsidRDefault="00AC4930">
      <w:pPr>
        <w:pStyle w:val="Listenabsatz"/>
        <w:numPr>
          <w:ilvl w:val="0"/>
          <w:numId w:val="7"/>
        </w:numPr>
        <w:spacing w:after="0" w:line="240" w:lineRule="auto"/>
        <w:ind w:left="567" w:hanging="283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die </w:t>
      </w:r>
      <w:r>
        <w:rPr>
          <w:i/>
          <w:sz w:val="23"/>
          <w:szCs w:val="23"/>
          <w:u w:val="single"/>
        </w:rPr>
        <w:t>unter wechselnden Umständen über ausgedehnte Zeitspannen einwirkende natürliche</w:t>
      </w:r>
      <w:r>
        <w:rPr>
          <w:i/>
          <w:sz w:val="23"/>
          <w:szCs w:val="23"/>
        </w:rPr>
        <w:t xml:space="preserve"> Selektion</w:t>
      </w:r>
    </w:p>
    <w:p w14:paraId="1D97C3A8" w14:textId="77777777" w:rsidR="004A2148" w:rsidRDefault="00AC4930">
      <w:pPr>
        <w:pStyle w:val="Listenabsatz"/>
        <w:numPr>
          <w:ilvl w:val="0"/>
          <w:numId w:val="7"/>
        </w:numPr>
        <w:spacing w:after="0" w:line="240" w:lineRule="auto"/>
        <w:ind w:left="567" w:hanging="283"/>
        <w:rPr>
          <w:i/>
          <w:sz w:val="23"/>
          <w:szCs w:val="23"/>
          <w:u w:val="single"/>
        </w:rPr>
      </w:pPr>
      <w:r>
        <w:rPr>
          <w:i/>
          <w:sz w:val="23"/>
          <w:szCs w:val="23"/>
        </w:rPr>
        <w:t xml:space="preserve">durch Verändern </w:t>
      </w:r>
      <w:r>
        <w:rPr>
          <w:i/>
          <w:sz w:val="23"/>
          <w:szCs w:val="23"/>
          <w:u w:val="single"/>
        </w:rPr>
        <w:t>des Mischungsverhältnisses der Metallteile</w:t>
      </w:r>
    </w:p>
    <w:p w14:paraId="6239B5B5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Verben mit Präpositionen:</w:t>
      </w:r>
    </w:p>
    <w:p w14:paraId="5AFCCB00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einlagern in </w:t>
      </w:r>
      <w:r>
        <w:rPr>
          <w:sz w:val="23"/>
          <w:szCs w:val="23"/>
        </w:rPr>
        <w:t xml:space="preserve">…, </w:t>
      </w:r>
      <w:r>
        <w:rPr>
          <w:i/>
          <w:sz w:val="23"/>
          <w:szCs w:val="23"/>
        </w:rPr>
        <w:t xml:space="preserve">sich entwickeln zu </w:t>
      </w:r>
      <w:r>
        <w:rPr>
          <w:sz w:val="23"/>
          <w:szCs w:val="23"/>
        </w:rPr>
        <w:t>…,</w:t>
      </w:r>
      <w:r>
        <w:rPr>
          <w:i/>
          <w:sz w:val="23"/>
          <w:szCs w:val="23"/>
        </w:rPr>
        <w:t xml:space="preserve"> einwirken auf </w:t>
      </w:r>
      <w:r>
        <w:rPr>
          <w:sz w:val="23"/>
          <w:szCs w:val="23"/>
        </w:rPr>
        <w:t xml:space="preserve">…, </w:t>
      </w:r>
      <w:r>
        <w:rPr>
          <w:i/>
          <w:sz w:val="23"/>
          <w:szCs w:val="23"/>
        </w:rPr>
        <w:t>vergleichen mit</w:t>
      </w:r>
      <w:r>
        <w:rPr>
          <w:sz w:val="23"/>
          <w:szCs w:val="23"/>
        </w:rPr>
        <w:t xml:space="preserve"> …, </w:t>
      </w:r>
      <w:r>
        <w:rPr>
          <w:i/>
          <w:sz w:val="23"/>
          <w:szCs w:val="23"/>
        </w:rPr>
        <w:t>sich anpassen an</w:t>
      </w:r>
      <w:r>
        <w:rPr>
          <w:sz w:val="23"/>
          <w:szCs w:val="23"/>
        </w:rPr>
        <w:t xml:space="preserve"> …, </w:t>
      </w:r>
      <w:r>
        <w:rPr>
          <w:i/>
          <w:sz w:val="23"/>
          <w:szCs w:val="23"/>
        </w:rPr>
        <w:t>reagieren mit … zu …</w:t>
      </w:r>
    </w:p>
    <w:p w14:paraId="2F04AE92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Funktionsverbgefüge, bei denen die Hauptbedeutung vom Nomen getragen wird:</w:t>
      </w:r>
    </w:p>
    <w:p w14:paraId="61A9DC45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eine Erlaubnis erteilen</w:t>
      </w:r>
    </w:p>
    <w:p w14:paraId="4C743CF9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in Betrieb nehmen</w:t>
      </w:r>
    </w:p>
    <w:p w14:paraId="22540A9B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in Bewegung setzen</w:t>
      </w:r>
    </w:p>
    <w:p w14:paraId="0D27903D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in Bewegung bleiben</w:t>
      </w:r>
    </w:p>
    <w:p w14:paraId="41D522EA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z</w:t>
      </w:r>
      <w:r>
        <w:rPr>
          <w:i/>
          <w:sz w:val="23"/>
          <w:szCs w:val="23"/>
        </w:rPr>
        <w:t>ur Reaktion bringen</w:t>
      </w:r>
    </w:p>
    <w:p w14:paraId="28A95209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trennbare Verben, deren erster Baustein (Präfix) weit hinten im Satz stehen kann: </w:t>
      </w:r>
    </w:p>
    <w:p w14:paraId="02BCF3BF" w14:textId="77777777" w:rsidR="004A2148" w:rsidRDefault="00AC4930">
      <w:pPr>
        <w:spacing w:after="0" w:line="240" w:lineRule="auto"/>
        <w:ind w:left="1985" w:hanging="1701"/>
        <w:jc w:val="both"/>
        <w:rPr>
          <w:sz w:val="23"/>
          <w:szCs w:val="23"/>
        </w:rPr>
      </w:pPr>
      <w:r>
        <w:rPr>
          <w:i/>
          <w:sz w:val="23"/>
          <w:szCs w:val="23"/>
        </w:rPr>
        <w:t>widerspiegeln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i/>
          <w:sz w:val="23"/>
          <w:szCs w:val="23"/>
        </w:rPr>
        <w:t xml:space="preserve">Es </w:t>
      </w:r>
      <w:r>
        <w:rPr>
          <w:b/>
          <w:i/>
          <w:sz w:val="23"/>
          <w:szCs w:val="23"/>
        </w:rPr>
        <w:t>spiegelt</w:t>
      </w:r>
      <w:r>
        <w:rPr>
          <w:i/>
          <w:sz w:val="23"/>
          <w:szCs w:val="23"/>
        </w:rPr>
        <w:t xml:space="preserve"> die Temperaturschwankungen während der Lebenszeit des Baumes </w:t>
      </w:r>
      <w:r>
        <w:rPr>
          <w:b/>
          <w:i/>
          <w:sz w:val="23"/>
          <w:szCs w:val="23"/>
        </w:rPr>
        <w:t>wider</w:t>
      </w:r>
      <w:r>
        <w:rPr>
          <w:i/>
          <w:sz w:val="23"/>
          <w:szCs w:val="23"/>
        </w:rPr>
        <w:t>.</w:t>
      </w:r>
    </w:p>
    <w:p w14:paraId="25DF9D03" w14:textId="77777777" w:rsidR="004A2148" w:rsidRDefault="00AC4930">
      <w:pPr>
        <w:spacing w:after="0" w:line="240" w:lineRule="auto"/>
        <w:ind w:left="1985" w:hanging="170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sich abwechseln: </w:t>
      </w:r>
      <w:r>
        <w:rPr>
          <w:i/>
          <w:sz w:val="23"/>
          <w:szCs w:val="23"/>
        </w:rPr>
        <w:tab/>
        <w:t xml:space="preserve">Dabei </w:t>
      </w:r>
      <w:r>
        <w:rPr>
          <w:b/>
          <w:i/>
          <w:sz w:val="23"/>
          <w:szCs w:val="23"/>
        </w:rPr>
        <w:t>wechseln</w:t>
      </w:r>
      <w:r>
        <w:rPr>
          <w:i/>
          <w:sz w:val="23"/>
          <w:szCs w:val="23"/>
        </w:rPr>
        <w:t xml:space="preserve"> sich das Zusammenziehen der Muskulatur der Vorhöfe und der Muskulatur der Herzkammern </w:t>
      </w:r>
      <w:r>
        <w:rPr>
          <w:b/>
          <w:i/>
          <w:sz w:val="23"/>
          <w:szCs w:val="23"/>
        </w:rPr>
        <w:t>ab</w:t>
      </w:r>
      <w:r>
        <w:rPr>
          <w:i/>
          <w:sz w:val="23"/>
          <w:szCs w:val="23"/>
        </w:rPr>
        <w:t>.</w:t>
      </w:r>
    </w:p>
    <w:p w14:paraId="0E973F88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i/>
          <w:sz w:val="23"/>
          <w:szCs w:val="23"/>
        </w:rPr>
      </w:pPr>
      <w:r>
        <w:rPr>
          <w:b/>
          <w:sz w:val="23"/>
          <w:szCs w:val="23"/>
        </w:rPr>
        <w:t xml:space="preserve">unpersönliche Ausdrucksweisen, z. B. Passiv, Passiversatzformen oder Verwendung von </w:t>
      </w:r>
      <w:r>
        <w:rPr>
          <w:b/>
          <w:i/>
          <w:sz w:val="23"/>
          <w:szCs w:val="23"/>
        </w:rPr>
        <w:t>man:</w:t>
      </w:r>
      <w:r>
        <w:rPr>
          <w:i/>
          <w:sz w:val="23"/>
          <w:szCs w:val="23"/>
        </w:rPr>
        <w:t xml:space="preserve"> </w:t>
      </w:r>
    </w:p>
    <w:p w14:paraId="5B6CFACE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In die Kristallstruktur </w:t>
      </w:r>
      <w:r>
        <w:rPr>
          <w:b/>
          <w:i/>
          <w:sz w:val="23"/>
          <w:szCs w:val="23"/>
        </w:rPr>
        <w:t>werden</w:t>
      </w:r>
      <w:r>
        <w:rPr>
          <w:i/>
          <w:sz w:val="23"/>
          <w:szCs w:val="23"/>
        </w:rPr>
        <w:t xml:space="preserve"> die Wassermoleküle </w:t>
      </w:r>
      <w:r>
        <w:rPr>
          <w:b/>
          <w:i/>
          <w:sz w:val="23"/>
          <w:szCs w:val="23"/>
        </w:rPr>
        <w:t>eingelagert.</w:t>
      </w:r>
      <w:r>
        <w:rPr>
          <w:i/>
          <w:sz w:val="23"/>
          <w:szCs w:val="23"/>
        </w:rPr>
        <w:t xml:space="preserve"> </w:t>
      </w:r>
    </w:p>
    <w:p w14:paraId="7EDE85BA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Die Versuch</w:t>
      </w:r>
      <w:r>
        <w:rPr>
          <w:i/>
          <w:sz w:val="23"/>
          <w:szCs w:val="23"/>
        </w:rPr>
        <w:t xml:space="preserve">sreihe </w:t>
      </w:r>
      <w:r>
        <w:rPr>
          <w:b/>
          <w:i/>
          <w:sz w:val="23"/>
          <w:szCs w:val="23"/>
        </w:rPr>
        <w:t>ist abgeschlossen</w:t>
      </w:r>
      <w:r>
        <w:rPr>
          <w:i/>
          <w:sz w:val="23"/>
          <w:szCs w:val="23"/>
        </w:rPr>
        <w:t xml:space="preserve">. </w:t>
      </w:r>
    </w:p>
    <w:p w14:paraId="39BD290E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Es </w:t>
      </w:r>
      <w:r>
        <w:rPr>
          <w:b/>
          <w:i/>
          <w:sz w:val="23"/>
          <w:szCs w:val="23"/>
        </w:rPr>
        <w:t>können</w:t>
      </w:r>
      <w:r>
        <w:rPr>
          <w:i/>
          <w:sz w:val="23"/>
          <w:szCs w:val="23"/>
        </w:rPr>
        <w:t xml:space="preserve"> auch neue Rassen </w:t>
      </w:r>
      <w:r>
        <w:rPr>
          <w:b/>
          <w:i/>
          <w:sz w:val="23"/>
          <w:szCs w:val="23"/>
        </w:rPr>
        <w:t>gezüchtet werden</w:t>
      </w:r>
      <w:r>
        <w:rPr>
          <w:sz w:val="23"/>
          <w:szCs w:val="23"/>
        </w:rPr>
        <w:t xml:space="preserve">. </w:t>
      </w:r>
    </w:p>
    <w:p w14:paraId="28DCDAED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Alkalische Lösungen </w:t>
      </w:r>
      <w:r>
        <w:rPr>
          <w:b/>
          <w:i/>
          <w:sz w:val="23"/>
          <w:szCs w:val="23"/>
        </w:rPr>
        <w:t>lassen sich</w:t>
      </w:r>
      <w:r>
        <w:rPr>
          <w:i/>
          <w:sz w:val="23"/>
          <w:szCs w:val="23"/>
        </w:rPr>
        <w:t xml:space="preserve"> mit Indikatoren </w:t>
      </w:r>
      <w:r>
        <w:rPr>
          <w:b/>
          <w:i/>
          <w:sz w:val="23"/>
          <w:szCs w:val="23"/>
        </w:rPr>
        <w:t>nachweisen</w:t>
      </w:r>
      <w:r>
        <w:rPr>
          <w:i/>
          <w:sz w:val="23"/>
          <w:szCs w:val="23"/>
        </w:rPr>
        <w:t xml:space="preserve">. </w:t>
      </w:r>
    </w:p>
    <w:p w14:paraId="3BC76B99" w14:textId="77777777" w:rsidR="004A2148" w:rsidRDefault="00AC4930">
      <w:pPr>
        <w:spacing w:after="0" w:line="240" w:lineRule="auto"/>
        <w:ind w:left="28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Nicht jedes Material </w:t>
      </w:r>
      <w:r>
        <w:rPr>
          <w:b/>
          <w:i/>
          <w:sz w:val="23"/>
          <w:szCs w:val="23"/>
        </w:rPr>
        <w:t>verarbeitet</w:t>
      </w:r>
      <w:r>
        <w:rPr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sich</w:t>
      </w:r>
      <w:r>
        <w:rPr>
          <w:i/>
          <w:sz w:val="23"/>
          <w:szCs w:val="23"/>
        </w:rPr>
        <w:t xml:space="preserve"> problemlos. </w:t>
      </w:r>
    </w:p>
    <w:p w14:paraId="6C779A94" w14:textId="77777777" w:rsidR="004A2148" w:rsidRDefault="00AC4930">
      <w:pPr>
        <w:spacing w:after="0" w:line="240" w:lineRule="auto"/>
        <w:ind w:left="284"/>
        <w:jc w:val="both"/>
        <w:rPr>
          <w:sz w:val="23"/>
          <w:szCs w:val="23"/>
        </w:rPr>
      </w:pPr>
      <w:r>
        <w:rPr>
          <w:b/>
          <w:i/>
          <w:sz w:val="23"/>
          <w:szCs w:val="23"/>
        </w:rPr>
        <w:t>Man</w:t>
      </w:r>
      <w:r>
        <w:rPr>
          <w:i/>
          <w:sz w:val="23"/>
          <w:szCs w:val="23"/>
        </w:rPr>
        <w:t xml:space="preserve"> benennt die Blutgefäße danach, ob das Blut … </w:t>
      </w:r>
    </w:p>
    <w:p w14:paraId="43722357" w14:textId="77777777" w:rsidR="004A2148" w:rsidRDefault="00AC4930">
      <w:pPr>
        <w:pStyle w:val="Listenabsatz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Satzgefüge:</w:t>
      </w:r>
    </w:p>
    <w:p w14:paraId="0CC298F3" w14:textId="77777777" w:rsidR="004A2148" w:rsidRDefault="00AC4930">
      <w:pPr>
        <w:pStyle w:val="Listenabsatz"/>
        <w:numPr>
          <w:ilvl w:val="0"/>
          <w:numId w:val="6"/>
        </w:numPr>
        <w:spacing w:before="80" w:after="0" w:line="240" w:lineRule="auto"/>
        <w:ind w:left="568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Relativsä</w:t>
      </w:r>
      <w:r>
        <w:rPr>
          <w:b/>
          <w:sz w:val="23"/>
          <w:szCs w:val="23"/>
        </w:rPr>
        <w:t>tze:</w:t>
      </w:r>
    </w:p>
    <w:p w14:paraId="20725BAD" w14:textId="77777777" w:rsidR="004A2148" w:rsidRDefault="00AC4930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In dieser Kammer befindet sich die Zinkelektrode, </w:t>
      </w:r>
      <w:r>
        <w:rPr>
          <w:b/>
          <w:i/>
          <w:sz w:val="23"/>
          <w:szCs w:val="23"/>
          <w:u w:val="single"/>
        </w:rPr>
        <w:t>die</w:t>
      </w:r>
      <w:r>
        <w:rPr>
          <w:i/>
          <w:sz w:val="23"/>
          <w:szCs w:val="23"/>
          <w:u w:val="single"/>
        </w:rPr>
        <w:t xml:space="preserve"> in eine Lösung aus Zinksulfat (ZnSO</w:t>
      </w:r>
      <w:r>
        <w:rPr>
          <w:i/>
          <w:sz w:val="23"/>
          <w:szCs w:val="23"/>
          <w:u w:val="single"/>
          <w:vertAlign w:val="subscript"/>
        </w:rPr>
        <w:t>4</w:t>
      </w:r>
      <w:r>
        <w:rPr>
          <w:i/>
          <w:sz w:val="23"/>
          <w:szCs w:val="23"/>
          <w:u w:val="single"/>
        </w:rPr>
        <w:t>) eingetaucht wurde</w:t>
      </w:r>
      <w:r>
        <w:rPr>
          <w:i/>
          <w:sz w:val="23"/>
          <w:szCs w:val="23"/>
        </w:rPr>
        <w:t>.</w:t>
      </w:r>
    </w:p>
    <w:p w14:paraId="5E33B491" w14:textId="77777777" w:rsidR="004A2148" w:rsidRDefault="00AC4930">
      <w:pPr>
        <w:pStyle w:val="Listenabsatz"/>
        <w:numPr>
          <w:ilvl w:val="0"/>
          <w:numId w:val="6"/>
        </w:numPr>
        <w:spacing w:before="80" w:after="0" w:line="240" w:lineRule="auto"/>
        <w:ind w:left="568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Konditionalsätze (Angabe einer Bedingung – meistens ohne einleitendes </w:t>
      </w:r>
      <w:r>
        <w:rPr>
          <w:b/>
          <w:i/>
          <w:sz w:val="23"/>
          <w:szCs w:val="23"/>
          <w:u w:val="single"/>
        </w:rPr>
        <w:t>wenn</w:t>
      </w:r>
      <w:r>
        <w:rPr>
          <w:b/>
          <w:sz w:val="23"/>
          <w:szCs w:val="23"/>
        </w:rPr>
        <w:t>):</w:t>
      </w:r>
    </w:p>
    <w:p w14:paraId="00A30BC7" w14:textId="77777777" w:rsidR="004A2148" w:rsidRDefault="00AC4930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  <w:u w:val="single"/>
        </w:rPr>
        <w:t>Schaltet man ein Messgerät zwischen zwei Elektroden</w:t>
      </w:r>
      <w:r>
        <w:rPr>
          <w:i/>
          <w:sz w:val="23"/>
          <w:szCs w:val="23"/>
        </w:rPr>
        <w:t xml:space="preserve">, so kann man einen Stromfluss messen. </w:t>
      </w:r>
      <w:r>
        <w:rPr>
          <w:i/>
          <w:sz w:val="23"/>
          <w:szCs w:val="23"/>
        </w:rPr>
        <w:br/>
        <w:t xml:space="preserve">(= </w:t>
      </w:r>
      <w:r>
        <w:rPr>
          <w:b/>
          <w:i/>
          <w:sz w:val="23"/>
          <w:szCs w:val="23"/>
          <w:u w:val="single"/>
        </w:rPr>
        <w:t>Wenn</w:t>
      </w:r>
      <w:r>
        <w:rPr>
          <w:i/>
          <w:sz w:val="23"/>
          <w:szCs w:val="23"/>
          <w:u w:val="single"/>
        </w:rPr>
        <w:t xml:space="preserve"> man ein Messgerät zwischen zwei Elektroden schaltet</w:t>
      </w:r>
      <w:r>
        <w:rPr>
          <w:i/>
          <w:sz w:val="23"/>
          <w:szCs w:val="23"/>
        </w:rPr>
        <w:t>, dann kann …)</w:t>
      </w:r>
    </w:p>
    <w:p w14:paraId="0A077064" w14:textId="77777777" w:rsidR="004A2148" w:rsidRDefault="00AC4930">
      <w:pPr>
        <w:pStyle w:val="Listenabsatz"/>
        <w:numPr>
          <w:ilvl w:val="0"/>
          <w:numId w:val="6"/>
        </w:numPr>
        <w:spacing w:before="80" w:after="0" w:line="240" w:lineRule="auto"/>
        <w:ind w:left="568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>Kausalsätze (Angabe eines Grundes):</w:t>
      </w:r>
    </w:p>
    <w:p w14:paraId="7FEBC5CA" w14:textId="350D137D" w:rsidR="004A2148" w:rsidRPr="006C1858" w:rsidRDefault="00AC4930" w:rsidP="006C1858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Die positiv geladenen Zink-Ionen in der Zinkhalbzelle h</w:t>
      </w:r>
      <w:r>
        <w:rPr>
          <w:i/>
          <w:sz w:val="23"/>
          <w:szCs w:val="23"/>
        </w:rPr>
        <w:t xml:space="preserve">aften nicht mehr an der Zinkelektrode, </w:t>
      </w:r>
      <w:r>
        <w:rPr>
          <w:b/>
          <w:i/>
          <w:sz w:val="23"/>
          <w:szCs w:val="23"/>
          <w:u w:val="single"/>
        </w:rPr>
        <w:t>da</w:t>
      </w:r>
      <w:r>
        <w:rPr>
          <w:i/>
          <w:sz w:val="23"/>
          <w:szCs w:val="23"/>
          <w:u w:val="single"/>
        </w:rPr>
        <w:t xml:space="preserve"> die zuvor vorhandene negative Ladung der Elektrode nicht mehr besteht</w:t>
      </w:r>
      <w:r>
        <w:rPr>
          <w:i/>
          <w:sz w:val="23"/>
          <w:szCs w:val="23"/>
        </w:rPr>
        <w:t>.</w:t>
      </w:r>
    </w:p>
    <w:p w14:paraId="130FC07C" w14:textId="77777777" w:rsidR="004A2148" w:rsidRDefault="00AC4930">
      <w:pPr>
        <w:pStyle w:val="Listenabsatz"/>
        <w:numPr>
          <w:ilvl w:val="0"/>
          <w:numId w:val="6"/>
        </w:numPr>
        <w:spacing w:before="40" w:after="0" w:line="240" w:lineRule="auto"/>
        <w:ind w:left="568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t>Modalsätze (Angabe der Art und Weise):</w:t>
      </w:r>
    </w:p>
    <w:p w14:paraId="5E581050" w14:textId="77777777" w:rsidR="004A2148" w:rsidRDefault="00AC4930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Nach der Durchführung der Experimente kann jede Vermutung geprüft werden, </w:t>
      </w:r>
      <w:r>
        <w:rPr>
          <w:b/>
          <w:i/>
          <w:sz w:val="23"/>
          <w:szCs w:val="23"/>
          <w:u w:val="single"/>
        </w:rPr>
        <w:t>indem</w:t>
      </w:r>
      <w:r>
        <w:rPr>
          <w:i/>
          <w:sz w:val="23"/>
          <w:szCs w:val="23"/>
          <w:u w:val="single"/>
        </w:rPr>
        <w:t xml:space="preserve"> der jeweilige Versuchsansatz mit dem Kontrollexperiment verglichen wird</w:t>
      </w:r>
      <w:r>
        <w:rPr>
          <w:i/>
          <w:sz w:val="23"/>
          <w:szCs w:val="23"/>
        </w:rPr>
        <w:t>.</w:t>
      </w:r>
      <w:r>
        <w:rPr>
          <w:rStyle w:val="Funotenzeichen"/>
          <w:i/>
          <w:sz w:val="23"/>
          <w:szCs w:val="23"/>
        </w:rPr>
        <w:footnoteReference w:id="2"/>
      </w:r>
    </w:p>
    <w:p w14:paraId="7376C0E6" w14:textId="77777777" w:rsidR="004A2148" w:rsidRDefault="00AC4930">
      <w:pPr>
        <w:pStyle w:val="Listenabsatz"/>
        <w:numPr>
          <w:ilvl w:val="0"/>
          <w:numId w:val="6"/>
        </w:numPr>
        <w:spacing w:before="60" w:after="0" w:line="240" w:lineRule="auto"/>
        <w:ind w:left="568" w:hanging="284"/>
        <w:contextualSpacing w:val="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Adversativsätze (Angabe eines Gegensatzes):</w:t>
      </w:r>
    </w:p>
    <w:p w14:paraId="2DD330B7" w14:textId="77777777" w:rsidR="004A2148" w:rsidRDefault="00AC4930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Zink schmilzt bereits bei 420⁰C, </w:t>
      </w:r>
      <w:r>
        <w:rPr>
          <w:b/>
          <w:i/>
          <w:sz w:val="23"/>
          <w:szCs w:val="23"/>
          <w:u w:val="single"/>
        </w:rPr>
        <w:t>während</w:t>
      </w:r>
      <w:r>
        <w:rPr>
          <w:i/>
          <w:sz w:val="23"/>
          <w:szCs w:val="23"/>
          <w:u w:val="single"/>
        </w:rPr>
        <w:t xml:space="preserve"> die Schmelztempe</w:t>
      </w:r>
      <w:r>
        <w:rPr>
          <w:i/>
          <w:sz w:val="23"/>
          <w:szCs w:val="23"/>
          <w:u w:val="single"/>
        </w:rPr>
        <w:t>ratur von Eisen 1536⁰C beträgt</w:t>
      </w:r>
      <w:r>
        <w:rPr>
          <w:i/>
          <w:sz w:val="23"/>
          <w:szCs w:val="23"/>
        </w:rPr>
        <w:t>.</w:t>
      </w:r>
      <w:r>
        <w:rPr>
          <w:rStyle w:val="Funotenzeichen"/>
          <w:i/>
          <w:sz w:val="23"/>
          <w:szCs w:val="23"/>
        </w:rPr>
        <w:footnoteReference w:id="3"/>
      </w:r>
    </w:p>
    <w:p w14:paraId="1A00AB62" w14:textId="77777777" w:rsidR="004A2148" w:rsidRDefault="00AC4930">
      <w:pPr>
        <w:pStyle w:val="Listenabsatz"/>
        <w:numPr>
          <w:ilvl w:val="0"/>
          <w:numId w:val="6"/>
        </w:numPr>
        <w:spacing w:before="60" w:after="0" w:line="240" w:lineRule="auto"/>
        <w:ind w:left="568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>Komplexe Satzgefüge (Kombination mehrerer Nebensätze):</w:t>
      </w:r>
    </w:p>
    <w:p w14:paraId="26BB8C58" w14:textId="77777777" w:rsidR="004A2148" w:rsidRDefault="00AC4930">
      <w:pPr>
        <w:spacing w:after="0" w:line="240" w:lineRule="auto"/>
        <w:ind w:left="567"/>
        <w:jc w:val="both"/>
        <w:rPr>
          <w:i/>
          <w:sz w:val="23"/>
          <w:szCs w:val="23"/>
        </w:rPr>
      </w:pPr>
      <w:r>
        <w:rPr>
          <w:i/>
          <w:sz w:val="23"/>
          <w:szCs w:val="23"/>
          <w:u w:val="single"/>
        </w:rPr>
        <w:t>Enthält Erdgas Schwefelwasserstoff</w:t>
      </w:r>
      <w:r>
        <w:rPr>
          <w:i/>
          <w:sz w:val="23"/>
          <w:szCs w:val="23"/>
        </w:rPr>
        <w:t xml:space="preserve">, muss dieser vor der Nutzung entfernt werden, </w:t>
      </w:r>
      <w:r>
        <w:rPr>
          <w:i/>
          <w:sz w:val="23"/>
          <w:szCs w:val="23"/>
          <w:u w:val="single"/>
        </w:rPr>
        <w:t>da er giftig ist und es sonst bei der Verbrennung zu Schwefeldioxid-Emissionen (SO</w:t>
      </w:r>
      <w:r>
        <w:rPr>
          <w:i/>
          <w:sz w:val="23"/>
          <w:szCs w:val="23"/>
          <w:u w:val="single"/>
          <w:vertAlign w:val="subscript"/>
        </w:rPr>
        <w:t>2</w:t>
      </w:r>
      <w:r>
        <w:rPr>
          <w:i/>
          <w:sz w:val="23"/>
          <w:szCs w:val="23"/>
          <w:u w:val="single"/>
        </w:rPr>
        <w:t>) k</w:t>
      </w:r>
      <w:r>
        <w:rPr>
          <w:i/>
          <w:sz w:val="23"/>
          <w:szCs w:val="23"/>
          <w:u w:val="single"/>
        </w:rPr>
        <w:t>ommt</w:t>
      </w:r>
      <w:r>
        <w:rPr>
          <w:i/>
          <w:sz w:val="23"/>
          <w:szCs w:val="23"/>
        </w:rPr>
        <w:t>.</w:t>
      </w:r>
      <w:r>
        <w:rPr>
          <w:rStyle w:val="Funotenzeichen"/>
          <w:i/>
          <w:sz w:val="23"/>
          <w:szCs w:val="23"/>
        </w:rPr>
        <w:footnoteReference w:id="4"/>
      </w:r>
      <w:r>
        <w:rPr>
          <w:i/>
          <w:sz w:val="23"/>
          <w:szCs w:val="23"/>
        </w:rPr>
        <w:t xml:space="preserve"> </w:t>
      </w:r>
    </w:p>
    <w:p w14:paraId="0403D939" w14:textId="77777777" w:rsidR="004A2148" w:rsidRDefault="00AC4930">
      <w:pPr>
        <w:spacing w:before="360" w:after="240" w:line="240" w:lineRule="auto"/>
        <w:jc w:val="both"/>
        <w:rPr>
          <w:b/>
          <w:color w:val="404040"/>
          <w:sz w:val="23"/>
          <w:szCs w:val="23"/>
        </w:rPr>
      </w:pPr>
      <w:r>
        <w:rPr>
          <w:b/>
          <w:color w:val="404040" w:themeColor="text1" w:themeTint="BF"/>
          <w:sz w:val="23"/>
          <w:szCs w:val="23"/>
        </w:rPr>
        <w:t>Textebene</w:t>
      </w:r>
    </w:p>
    <w:p w14:paraId="22B11D9A" w14:textId="77777777" w:rsidR="004A2148" w:rsidRDefault="00AC4930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>
        <w:rPr>
          <w:b/>
          <w:sz w:val="23"/>
          <w:szCs w:val="23"/>
        </w:rPr>
        <w:t>Orientierung an Konventionen geschriebener Sprache – auch in der gesprochenen Sprache (konzeptionelle Schriftlichkeit)</w:t>
      </w:r>
      <w:r>
        <w:rPr>
          <w:sz w:val="23"/>
          <w:szCs w:val="23"/>
        </w:rPr>
        <w:t xml:space="preserve"> – z. B. Referat, Vortrag, Präsentation</w:t>
      </w:r>
    </w:p>
    <w:p w14:paraId="7FC951C4" w14:textId="77777777" w:rsidR="004A2148" w:rsidRDefault="00AC4930">
      <w:pPr>
        <w:pStyle w:val="Listenabsatz"/>
        <w:numPr>
          <w:ilvl w:val="0"/>
          <w:numId w:val="1"/>
        </w:numPr>
        <w:spacing w:before="60" w:after="0" w:line="240" w:lineRule="auto"/>
        <w:ind w:left="284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 xml:space="preserve">Verknüpfung schriftlicher Texte mit anderen Darstellungsformen verschiedenen Abstraktionsgrads </w:t>
      </w:r>
      <w:r>
        <w:rPr>
          <w:sz w:val="23"/>
          <w:szCs w:val="23"/>
        </w:rPr>
        <w:t>–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z. B. mit Bildern, Karten, Filmen, Tabellen, Diagrammen, Symbolen und Formeln</w:t>
      </w:r>
    </w:p>
    <w:p w14:paraId="6952CE93" w14:textId="77777777" w:rsidR="004A2148" w:rsidRDefault="00AC4930">
      <w:pPr>
        <w:pStyle w:val="Listenabsatz"/>
        <w:numPr>
          <w:ilvl w:val="0"/>
          <w:numId w:val="1"/>
        </w:numPr>
        <w:spacing w:before="60" w:after="0" w:line="240" w:lineRule="auto"/>
        <w:ind w:left="284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 xml:space="preserve">fachspezifische Textmuster mit festgelegter, logischer, argumentativ schlüssiger </w:t>
      </w:r>
      <w:r>
        <w:rPr>
          <w:b/>
          <w:sz w:val="23"/>
          <w:szCs w:val="23"/>
        </w:rPr>
        <w:t xml:space="preserve">Gliederung; häufig ist die Textstruktur durch die Textsorte </w:t>
      </w:r>
      <w:proofErr w:type="gramStart"/>
      <w:r>
        <w:rPr>
          <w:b/>
          <w:sz w:val="23"/>
          <w:szCs w:val="23"/>
        </w:rPr>
        <w:t xml:space="preserve">festgelegt  </w:t>
      </w:r>
      <w:r>
        <w:rPr>
          <w:sz w:val="23"/>
          <w:szCs w:val="23"/>
        </w:rPr>
        <w:t>–</w:t>
      </w:r>
      <w:proofErr w:type="gramEnd"/>
      <w:r>
        <w:rPr>
          <w:sz w:val="23"/>
          <w:szCs w:val="23"/>
        </w:rPr>
        <w:t xml:space="preserve"> z. B. Protokoll, Erörterung</w:t>
      </w:r>
      <w:r>
        <w:rPr>
          <w:rStyle w:val="Funotenzeichen"/>
          <w:sz w:val="23"/>
          <w:szCs w:val="23"/>
        </w:rPr>
        <w:footnoteReference w:id="5"/>
      </w:r>
      <w:r>
        <w:rPr>
          <w:sz w:val="23"/>
          <w:szCs w:val="23"/>
        </w:rPr>
        <w:t xml:space="preserve"> </w:t>
      </w:r>
    </w:p>
    <w:p w14:paraId="28CBDFB4" w14:textId="77777777" w:rsidR="004A2148" w:rsidRDefault="00AC4930">
      <w:pPr>
        <w:pStyle w:val="Listenabsatz"/>
        <w:numPr>
          <w:ilvl w:val="0"/>
          <w:numId w:val="1"/>
        </w:numPr>
        <w:spacing w:before="60" w:after="120" w:line="240" w:lineRule="auto"/>
        <w:ind w:left="284" w:hanging="284"/>
        <w:contextualSpacing w:val="0"/>
        <w:rPr>
          <w:sz w:val="23"/>
          <w:szCs w:val="23"/>
        </w:rPr>
      </w:pPr>
      <w:r>
        <w:rPr>
          <w:b/>
          <w:sz w:val="23"/>
          <w:szCs w:val="23"/>
        </w:rPr>
        <w:t>explizite Markierung des Textzusammenhangs (Kohärenz)</w:t>
      </w:r>
      <w:r>
        <w:rPr>
          <w:sz w:val="23"/>
          <w:szCs w:val="23"/>
        </w:rPr>
        <w:t xml:space="preserve"> –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z.B. durch Wiederholung von Wör</w:t>
      </w:r>
      <w:r>
        <w:rPr>
          <w:sz w:val="23"/>
          <w:szCs w:val="23"/>
        </w:rPr>
        <w:t>tern bzw. Wortteilen (einige Beispiele im Text unterstrichen), Verwendung von Proformen (im Text kursiv) oder satzübergreifenden Verweisformen (im Text fettgedruckt) sowie durch übersichtliches Layout und (Zwischen-)Überschriften</w:t>
      </w:r>
    </w:p>
    <w:p w14:paraId="3051D15C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Teer</w:t>
      </w:r>
      <w:r>
        <w:rPr>
          <w:sz w:val="23"/>
          <w:szCs w:val="23"/>
        </w:rPr>
        <w:t xml:space="preserve"> schädigt die </w:t>
      </w:r>
      <w:r>
        <w:rPr>
          <w:sz w:val="23"/>
          <w:szCs w:val="23"/>
          <w:u w:val="single"/>
        </w:rPr>
        <w:t>Lunge</w:t>
      </w:r>
    </w:p>
    <w:p w14:paraId="4DD98F83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Zigaretten</w:t>
      </w:r>
      <w:r>
        <w:rPr>
          <w:sz w:val="23"/>
          <w:szCs w:val="23"/>
        </w:rPr>
        <w:t xml:space="preserve"> ist </w:t>
      </w:r>
      <w:r>
        <w:rPr>
          <w:sz w:val="23"/>
          <w:szCs w:val="23"/>
          <w:u w:val="single"/>
        </w:rPr>
        <w:t>Teer</w:t>
      </w:r>
      <w:r>
        <w:rPr>
          <w:sz w:val="23"/>
          <w:szCs w:val="23"/>
        </w:rPr>
        <w:t xml:space="preserve"> enthalten. </w:t>
      </w:r>
      <w:r>
        <w:rPr>
          <w:i/>
          <w:sz w:val="23"/>
          <w:szCs w:val="23"/>
        </w:rPr>
        <w:t>Er</w:t>
      </w:r>
      <w:r>
        <w:rPr>
          <w:sz w:val="23"/>
          <w:szCs w:val="23"/>
        </w:rPr>
        <w:t xml:space="preserve"> verklebt in den </w:t>
      </w:r>
      <w:r>
        <w:rPr>
          <w:sz w:val="23"/>
          <w:szCs w:val="23"/>
          <w:u w:val="single"/>
        </w:rPr>
        <w:t>Bronchien</w:t>
      </w:r>
      <w:r>
        <w:rPr>
          <w:sz w:val="23"/>
          <w:szCs w:val="23"/>
        </w:rPr>
        <w:t xml:space="preserve"> die Flimmerhärchen, die </w:t>
      </w:r>
      <w:r>
        <w:rPr>
          <w:b/>
          <w:sz w:val="23"/>
          <w:szCs w:val="23"/>
        </w:rPr>
        <w:t xml:space="preserve">dadurch </w:t>
      </w:r>
      <w:r>
        <w:rPr>
          <w:sz w:val="23"/>
          <w:szCs w:val="23"/>
        </w:rPr>
        <w:t xml:space="preserve">mit der Zeit absterben. Schadstoffe und Schleim werden </w:t>
      </w:r>
      <w:r>
        <w:rPr>
          <w:b/>
          <w:sz w:val="23"/>
          <w:szCs w:val="23"/>
        </w:rPr>
        <w:t>dann</w:t>
      </w:r>
      <w:r>
        <w:rPr>
          <w:sz w:val="23"/>
          <w:szCs w:val="23"/>
        </w:rPr>
        <w:t xml:space="preserve"> nicht mehr abtransportiert. </w:t>
      </w:r>
      <w:r>
        <w:rPr>
          <w:b/>
          <w:sz w:val="23"/>
          <w:szCs w:val="23"/>
        </w:rPr>
        <w:t>Dies</w:t>
      </w:r>
      <w:r>
        <w:rPr>
          <w:sz w:val="23"/>
          <w:szCs w:val="23"/>
        </w:rPr>
        <w:t xml:space="preserve"> kann zu einer dauerhaften Entzündung führen, eine </w:t>
      </w:r>
      <w:r>
        <w:rPr>
          <w:sz w:val="23"/>
          <w:szCs w:val="23"/>
          <w:u w:val="single"/>
        </w:rPr>
        <w:t>Bronchitis</w:t>
      </w:r>
      <w:r>
        <w:rPr>
          <w:sz w:val="23"/>
          <w:szCs w:val="23"/>
        </w:rPr>
        <w:t xml:space="preserve"> entsteht.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Daneben</w:t>
      </w:r>
      <w:r>
        <w:rPr>
          <w:sz w:val="23"/>
          <w:szCs w:val="23"/>
        </w:rPr>
        <w:t xml:space="preserve"> lagert sich der </w:t>
      </w:r>
      <w:r>
        <w:rPr>
          <w:sz w:val="23"/>
          <w:szCs w:val="23"/>
          <w:u w:val="single"/>
        </w:rPr>
        <w:t>Teer</w:t>
      </w:r>
      <w:r>
        <w:rPr>
          <w:sz w:val="23"/>
          <w:szCs w:val="23"/>
        </w:rPr>
        <w:t xml:space="preserve"> in den </w:t>
      </w:r>
      <w:r>
        <w:rPr>
          <w:sz w:val="23"/>
          <w:szCs w:val="23"/>
          <w:u w:val="single"/>
        </w:rPr>
        <w:t>Lungen</w:t>
      </w:r>
      <w:r>
        <w:rPr>
          <w:sz w:val="23"/>
          <w:szCs w:val="23"/>
        </w:rPr>
        <w:t xml:space="preserve">bläschen ab. </w:t>
      </w:r>
      <w:r>
        <w:rPr>
          <w:b/>
          <w:sz w:val="23"/>
          <w:szCs w:val="23"/>
        </w:rPr>
        <w:t>Hierdurch</w:t>
      </w:r>
      <w:r>
        <w:rPr>
          <w:sz w:val="23"/>
          <w:szCs w:val="23"/>
        </w:rPr>
        <w:t xml:space="preserve"> wird die </w:t>
      </w:r>
      <w:r>
        <w:rPr>
          <w:sz w:val="23"/>
          <w:szCs w:val="23"/>
          <w:u w:val="single"/>
        </w:rPr>
        <w:t>Sauerstoff</w:t>
      </w:r>
      <w:r>
        <w:rPr>
          <w:sz w:val="23"/>
          <w:szCs w:val="23"/>
        </w:rPr>
        <w:t xml:space="preserve">aufnahme ins </w:t>
      </w:r>
      <w:r>
        <w:rPr>
          <w:sz w:val="23"/>
          <w:szCs w:val="23"/>
          <w:u w:val="single"/>
        </w:rPr>
        <w:t>Blut</w:t>
      </w:r>
      <w:r>
        <w:rPr>
          <w:sz w:val="23"/>
          <w:szCs w:val="23"/>
        </w:rPr>
        <w:t xml:space="preserve"> behindert. </w:t>
      </w:r>
      <w:r>
        <w:rPr>
          <w:b/>
          <w:sz w:val="23"/>
          <w:szCs w:val="23"/>
        </w:rPr>
        <w:t>Deshalb</w:t>
      </w:r>
      <w:r>
        <w:rPr>
          <w:sz w:val="23"/>
          <w:szCs w:val="23"/>
        </w:rPr>
        <w:t xml:space="preserve"> sind langjährige </w:t>
      </w:r>
      <w:r>
        <w:rPr>
          <w:sz w:val="23"/>
          <w:szCs w:val="23"/>
          <w:u w:val="single"/>
        </w:rPr>
        <w:t>Raucher</w:t>
      </w:r>
      <w:r>
        <w:rPr>
          <w:sz w:val="23"/>
          <w:szCs w:val="23"/>
        </w:rPr>
        <w:t xml:space="preserve"> sportlich meistens nicht so fit wie Nicht</w:t>
      </w:r>
      <w:r>
        <w:rPr>
          <w:sz w:val="23"/>
          <w:szCs w:val="23"/>
          <w:u w:val="single"/>
        </w:rPr>
        <w:t>raucher</w:t>
      </w:r>
      <w:r>
        <w:rPr>
          <w:sz w:val="23"/>
          <w:szCs w:val="23"/>
        </w:rPr>
        <w:t>.</w:t>
      </w:r>
    </w:p>
    <w:p w14:paraId="2E636D4E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Nikotin</w:t>
      </w:r>
      <w:r>
        <w:rPr>
          <w:sz w:val="23"/>
          <w:szCs w:val="23"/>
        </w:rPr>
        <w:t xml:space="preserve"> verengt </w:t>
      </w:r>
      <w:r>
        <w:rPr>
          <w:sz w:val="23"/>
          <w:szCs w:val="23"/>
          <w:u w:val="single"/>
        </w:rPr>
        <w:t>Blutgefäße</w:t>
      </w:r>
    </w:p>
    <w:p w14:paraId="37652593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Das </w:t>
      </w:r>
      <w:r>
        <w:rPr>
          <w:sz w:val="23"/>
          <w:szCs w:val="23"/>
          <w:u w:val="single"/>
        </w:rPr>
        <w:t>Nikotin</w:t>
      </w:r>
      <w:r>
        <w:rPr>
          <w:sz w:val="23"/>
          <w:szCs w:val="23"/>
        </w:rPr>
        <w:t xml:space="preserve"> in </w:t>
      </w:r>
      <w:r>
        <w:rPr>
          <w:sz w:val="23"/>
          <w:szCs w:val="23"/>
          <w:u w:val="single"/>
        </w:rPr>
        <w:t>Zigarettenrauch</w:t>
      </w:r>
      <w:r>
        <w:rPr>
          <w:sz w:val="23"/>
          <w:szCs w:val="23"/>
        </w:rPr>
        <w:t xml:space="preserve"> v</w:t>
      </w:r>
      <w:r>
        <w:rPr>
          <w:sz w:val="23"/>
          <w:szCs w:val="23"/>
        </w:rPr>
        <w:t xml:space="preserve">erengt die </w:t>
      </w:r>
      <w:r>
        <w:rPr>
          <w:sz w:val="23"/>
          <w:szCs w:val="23"/>
          <w:u w:val="single"/>
        </w:rPr>
        <w:t>Blutgefäße</w:t>
      </w:r>
      <w:r>
        <w:rPr>
          <w:sz w:val="23"/>
          <w:szCs w:val="23"/>
        </w:rPr>
        <w:t>.</w:t>
      </w:r>
      <w:r>
        <w:rPr>
          <w:b/>
          <w:sz w:val="23"/>
          <w:szCs w:val="23"/>
        </w:rPr>
        <w:t xml:space="preserve"> Dadurch</w:t>
      </w:r>
      <w:r>
        <w:rPr>
          <w:sz w:val="23"/>
          <w:szCs w:val="23"/>
        </w:rPr>
        <w:t xml:space="preserve"> werden die Organe weniger </w:t>
      </w:r>
      <w:r>
        <w:rPr>
          <w:sz w:val="23"/>
          <w:szCs w:val="23"/>
          <w:u w:val="single"/>
        </w:rPr>
        <w:t>durchblutet</w:t>
      </w:r>
      <w:r>
        <w:rPr>
          <w:sz w:val="23"/>
          <w:szCs w:val="23"/>
        </w:rPr>
        <w:t xml:space="preserve"> und erhalten somit auch weniger </w:t>
      </w:r>
      <w:r>
        <w:rPr>
          <w:sz w:val="23"/>
          <w:szCs w:val="23"/>
          <w:u w:val="single"/>
        </w:rPr>
        <w:t>Sauerstoff</w:t>
      </w:r>
      <w:r>
        <w:rPr>
          <w:sz w:val="23"/>
          <w:szCs w:val="23"/>
        </w:rPr>
        <w:t xml:space="preserve">. Sehr oft sind die </w:t>
      </w:r>
      <w:r>
        <w:rPr>
          <w:sz w:val="23"/>
          <w:szCs w:val="23"/>
          <w:u w:val="single"/>
        </w:rPr>
        <w:t>Blutgefäße</w:t>
      </w:r>
      <w:r>
        <w:rPr>
          <w:sz w:val="23"/>
          <w:szCs w:val="23"/>
        </w:rPr>
        <w:t xml:space="preserve"> in den </w:t>
      </w:r>
      <w:r>
        <w:rPr>
          <w:sz w:val="23"/>
          <w:szCs w:val="23"/>
          <w:u w:val="single"/>
        </w:rPr>
        <w:t>Beinen</w:t>
      </w:r>
      <w:r>
        <w:rPr>
          <w:sz w:val="23"/>
          <w:szCs w:val="23"/>
        </w:rPr>
        <w:t xml:space="preserve"> betroffen. </w:t>
      </w:r>
      <w:r>
        <w:rPr>
          <w:sz w:val="23"/>
          <w:szCs w:val="23"/>
          <w:u w:val="single"/>
        </w:rPr>
        <w:t>Durchblutung</w:t>
      </w:r>
      <w:r>
        <w:rPr>
          <w:sz w:val="23"/>
          <w:szCs w:val="23"/>
        </w:rPr>
        <w:t xml:space="preserve">sstörungen können zum Absterben der </w:t>
      </w:r>
      <w:r>
        <w:rPr>
          <w:sz w:val="23"/>
          <w:szCs w:val="23"/>
          <w:u w:val="single"/>
        </w:rPr>
        <w:t>Beine</w:t>
      </w:r>
      <w:r>
        <w:rPr>
          <w:sz w:val="23"/>
          <w:szCs w:val="23"/>
        </w:rPr>
        <w:t xml:space="preserve"> führen.</w:t>
      </w:r>
    </w:p>
    <w:p w14:paraId="3E5F42E2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Passiv</w:t>
      </w:r>
      <w:r>
        <w:rPr>
          <w:sz w:val="23"/>
          <w:szCs w:val="23"/>
          <w:u w:val="single"/>
        </w:rPr>
        <w:t>rauchen</w:t>
      </w:r>
      <w:r>
        <w:rPr>
          <w:sz w:val="23"/>
          <w:szCs w:val="23"/>
        </w:rPr>
        <w:t xml:space="preserve"> ist schädlich</w:t>
      </w:r>
    </w:p>
    <w:p w14:paraId="6795A0B4" w14:textId="77777777" w:rsidR="004A2148" w:rsidRDefault="00AC493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Die </w:t>
      </w:r>
      <w:r>
        <w:rPr>
          <w:sz w:val="23"/>
          <w:szCs w:val="23"/>
          <w:u w:val="single"/>
        </w:rPr>
        <w:t>Giftstoffe</w:t>
      </w:r>
      <w:r>
        <w:rPr>
          <w:sz w:val="23"/>
          <w:szCs w:val="23"/>
        </w:rPr>
        <w:t xml:space="preserve"> einer </w:t>
      </w:r>
      <w:r>
        <w:rPr>
          <w:sz w:val="23"/>
          <w:szCs w:val="23"/>
          <w:u w:val="single"/>
        </w:rPr>
        <w:t>Zigarette</w:t>
      </w:r>
      <w:r>
        <w:rPr>
          <w:sz w:val="23"/>
          <w:szCs w:val="23"/>
        </w:rPr>
        <w:t xml:space="preserve"> befinden sich auch im </w:t>
      </w:r>
      <w:r>
        <w:rPr>
          <w:sz w:val="23"/>
          <w:szCs w:val="23"/>
          <w:u w:val="single"/>
        </w:rPr>
        <w:t>Zigarettenrauch</w:t>
      </w:r>
      <w:r>
        <w:rPr>
          <w:sz w:val="23"/>
          <w:szCs w:val="23"/>
        </w:rPr>
        <w:t xml:space="preserve">. Um </w:t>
      </w:r>
      <w:r>
        <w:rPr>
          <w:i/>
          <w:sz w:val="23"/>
          <w:szCs w:val="23"/>
        </w:rPr>
        <w:t>sie</w:t>
      </w:r>
      <w:r>
        <w:rPr>
          <w:sz w:val="23"/>
          <w:szCs w:val="23"/>
        </w:rPr>
        <w:t xml:space="preserve"> aufzunehmen, genügt es, den </w:t>
      </w:r>
      <w:r>
        <w:rPr>
          <w:sz w:val="23"/>
          <w:szCs w:val="23"/>
          <w:u w:val="single"/>
        </w:rPr>
        <w:t>Rauch</w:t>
      </w:r>
      <w:r>
        <w:rPr>
          <w:sz w:val="23"/>
          <w:szCs w:val="23"/>
        </w:rPr>
        <w:t xml:space="preserve"> einzuatmen. Man muss selbst nicht an einer </w:t>
      </w:r>
      <w:r>
        <w:rPr>
          <w:sz w:val="23"/>
          <w:szCs w:val="23"/>
          <w:u w:val="single"/>
        </w:rPr>
        <w:t>Zigarette</w:t>
      </w:r>
      <w:r>
        <w:rPr>
          <w:sz w:val="23"/>
          <w:szCs w:val="23"/>
        </w:rPr>
        <w:t xml:space="preserve"> ziehen, um geschädigt zu werden. Wird in Räumen </w:t>
      </w:r>
      <w:r>
        <w:rPr>
          <w:sz w:val="23"/>
          <w:szCs w:val="23"/>
          <w:u w:val="single"/>
        </w:rPr>
        <w:t>geraucht</w:t>
      </w:r>
      <w:r>
        <w:rPr>
          <w:sz w:val="23"/>
          <w:szCs w:val="23"/>
        </w:rPr>
        <w:t xml:space="preserve">, sind </w:t>
      </w:r>
      <w:r>
        <w:rPr>
          <w:b/>
          <w:sz w:val="23"/>
          <w:szCs w:val="23"/>
        </w:rPr>
        <w:t>deshalb</w:t>
      </w:r>
      <w:r>
        <w:rPr>
          <w:sz w:val="23"/>
          <w:szCs w:val="23"/>
        </w:rPr>
        <w:t xml:space="preserve"> nicht nur </w:t>
      </w:r>
      <w:r>
        <w:rPr>
          <w:sz w:val="23"/>
          <w:szCs w:val="23"/>
          <w:u w:val="single"/>
        </w:rPr>
        <w:t>Raucher</w:t>
      </w:r>
      <w:r>
        <w:rPr>
          <w:sz w:val="23"/>
          <w:szCs w:val="23"/>
        </w:rPr>
        <w:t xml:space="preserve">, sondern auch alle anderen Personen den Gefahren des </w:t>
      </w:r>
      <w:r>
        <w:rPr>
          <w:sz w:val="23"/>
          <w:szCs w:val="23"/>
          <w:u w:val="single"/>
        </w:rPr>
        <w:t>Rauchens</w:t>
      </w:r>
      <w:r>
        <w:rPr>
          <w:sz w:val="23"/>
          <w:szCs w:val="23"/>
        </w:rPr>
        <w:t xml:space="preserve"> ausgesetzt. </w:t>
      </w:r>
      <w:r>
        <w:rPr>
          <w:b/>
          <w:sz w:val="23"/>
          <w:szCs w:val="23"/>
        </w:rPr>
        <w:t>Da</w:t>
      </w:r>
      <w:r>
        <w:rPr>
          <w:sz w:val="23"/>
          <w:szCs w:val="23"/>
        </w:rPr>
        <w:t xml:space="preserve"> Kinder besonders empfindlich auf </w:t>
      </w:r>
      <w:r>
        <w:rPr>
          <w:sz w:val="23"/>
          <w:szCs w:val="23"/>
          <w:u w:val="single"/>
        </w:rPr>
        <w:t>Giftstoffe</w:t>
      </w:r>
      <w:r>
        <w:rPr>
          <w:sz w:val="23"/>
          <w:szCs w:val="23"/>
        </w:rPr>
        <w:t xml:space="preserve"> im </w:t>
      </w:r>
      <w:r>
        <w:rPr>
          <w:sz w:val="23"/>
          <w:szCs w:val="23"/>
          <w:u w:val="single"/>
        </w:rPr>
        <w:t>Zigarettenrauch</w:t>
      </w:r>
      <w:r>
        <w:rPr>
          <w:sz w:val="23"/>
          <w:szCs w:val="23"/>
        </w:rPr>
        <w:t xml:space="preserve"> reagieren, sollten Eltern nicht in der Wohnung </w:t>
      </w:r>
      <w:r>
        <w:rPr>
          <w:sz w:val="23"/>
          <w:szCs w:val="23"/>
          <w:u w:val="single"/>
        </w:rPr>
        <w:t>rauchen</w:t>
      </w:r>
      <w:r>
        <w:rPr>
          <w:sz w:val="23"/>
          <w:szCs w:val="23"/>
        </w:rPr>
        <w:t>.</w:t>
      </w:r>
      <w:r>
        <w:rPr>
          <w:rStyle w:val="Funotenzeichen"/>
          <w:sz w:val="23"/>
          <w:szCs w:val="23"/>
        </w:rPr>
        <w:footnoteReference w:id="6"/>
      </w:r>
    </w:p>
    <w:sectPr w:rsidR="004A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8AA8" w14:textId="77777777" w:rsidR="00AC4930" w:rsidRDefault="00AC4930">
      <w:r>
        <w:separator/>
      </w:r>
    </w:p>
  </w:endnote>
  <w:endnote w:type="continuationSeparator" w:id="0">
    <w:p w14:paraId="462C18EB" w14:textId="77777777" w:rsidR="00AC4930" w:rsidRDefault="00AC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 Light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ans Serif Std Ligh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432" w14:textId="77777777" w:rsidR="004A2148" w:rsidRDefault="004A2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tr w:rsidR="004A2148" w14:paraId="0FA17F0B" w14:textId="77777777">
      <w:trPr>
        <w:trHeight w:val="727"/>
      </w:trPr>
      <w:tc>
        <w:tcPr>
          <w:tcW w:w="4000" w:type="pct"/>
          <w:tcBorders>
            <w:right w:val="single" w:sz="4" w:space="0" w:color="auto"/>
          </w:tcBorders>
        </w:tcPr>
        <w:p w14:paraId="2CEE51F8" w14:textId="77777777" w:rsidR="004A2148" w:rsidRDefault="004A2148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1000" w:type="pct"/>
          <w:tcBorders>
            <w:left w:val="single" w:sz="4" w:space="0" w:color="auto"/>
          </w:tcBorders>
        </w:tcPr>
        <w:p w14:paraId="4DCB69AA" w14:textId="77777777" w:rsidR="004A2148" w:rsidRDefault="00AC4930">
          <w:pPr>
            <w:tabs>
              <w:tab w:val="left" w:pos="1490"/>
            </w:tabs>
            <w:rPr>
              <w:rFonts w:ascii="Open Sans" w:eastAsiaTheme="majorEastAsia" w:hAnsi="Open Sans" w:cs="Open Sans"/>
              <w:szCs w:val="28"/>
            </w:rPr>
          </w:pPr>
          <w:r>
            <w:rPr>
              <w:rFonts w:ascii="Open Sans" w:hAnsi="Open Sans" w:cs="Open Sans"/>
            </w:rPr>
            <w:fldChar w:fldCharType="begin"/>
          </w:r>
          <w:r>
            <w:rPr>
              <w:rFonts w:ascii="Open Sans" w:hAnsi="Open Sans" w:cs="Open Sans"/>
            </w:rPr>
            <w:instrText>PAGE    \* MERGEFORMAT</w:instrText>
          </w:r>
          <w:r>
            <w:rPr>
              <w:rFonts w:ascii="Open Sans" w:hAnsi="Open Sans" w:cs="Open Sans"/>
            </w:rPr>
            <w:fldChar w:fldCharType="separate"/>
          </w:r>
          <w:r>
            <w:rPr>
              <w:rFonts w:ascii="Open Sans" w:hAnsi="Open Sans" w:cs="Open Sans"/>
            </w:rPr>
            <w:t>1</w:t>
          </w:r>
          <w:r>
            <w:rPr>
              <w:rFonts w:ascii="Open Sans" w:hAnsi="Open Sans" w:cs="Open Sans"/>
            </w:rPr>
            <w:fldChar w:fldCharType="end"/>
          </w:r>
        </w:p>
      </w:tc>
    </w:tr>
  </w:tbl>
  <w:p w14:paraId="41938C22" w14:textId="77777777" w:rsidR="004A2148" w:rsidRDefault="004A21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70AE" w14:textId="77777777" w:rsidR="004A2148" w:rsidRDefault="004A2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0E61" w14:textId="77777777" w:rsidR="00AC4930" w:rsidRDefault="00AC4930">
      <w:r>
        <w:separator/>
      </w:r>
    </w:p>
  </w:footnote>
  <w:footnote w:type="continuationSeparator" w:id="0">
    <w:p w14:paraId="08BF583C" w14:textId="77777777" w:rsidR="00AC4930" w:rsidRDefault="00AC4930">
      <w:r>
        <w:continuationSeparator/>
      </w:r>
    </w:p>
  </w:footnote>
  <w:footnote w:id="1">
    <w:p w14:paraId="78D52606" w14:textId="77777777" w:rsidR="004A2148" w:rsidRDefault="00AC4930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Bei dem vorliegenden Merkblatt handelt es sich um eine Zusammenstellung einiger Beispiele für bildungs- und fachsprachliche Merkmale. Eine ausführliche Darstellung von Funktion und Struktur solcher Merkmale findet sich in: </w:t>
      </w:r>
      <w:proofErr w:type="spellStart"/>
      <w:r>
        <w:rPr>
          <w:sz w:val="18"/>
          <w:szCs w:val="18"/>
        </w:rPr>
        <w:t>Bickes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Ch</w:t>
      </w:r>
      <w:proofErr w:type="spellEnd"/>
      <w:r>
        <w:rPr>
          <w:sz w:val="18"/>
          <w:szCs w:val="18"/>
        </w:rPr>
        <w:t xml:space="preserve">. (2016). Funktion und </w:t>
      </w:r>
      <w:r>
        <w:rPr>
          <w:sz w:val="18"/>
          <w:szCs w:val="18"/>
        </w:rPr>
        <w:t xml:space="preserve">Struktur von Bildungs- und Fachsprache. Ein grammatischer Leitfaden. Hannover: </w:t>
      </w:r>
      <w:proofErr w:type="spellStart"/>
      <w:r>
        <w:rPr>
          <w:sz w:val="18"/>
          <w:szCs w:val="18"/>
        </w:rPr>
        <w:t>unidruck</w:t>
      </w:r>
      <w:proofErr w:type="spellEnd"/>
      <w:r>
        <w:rPr>
          <w:sz w:val="18"/>
          <w:szCs w:val="18"/>
        </w:rPr>
        <w:t>.</w:t>
      </w:r>
    </w:p>
  </w:footnote>
  <w:footnote w:id="2">
    <w:p w14:paraId="24209DE8" w14:textId="77777777" w:rsidR="004A2148" w:rsidRDefault="00AC4930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eastAsia="Times New Roman"/>
          <w:sz w:val="18"/>
          <w:szCs w:val="18"/>
        </w:rPr>
        <w:t>Baack et al. (2013). Natura 1. Biologie für Gymnasien. Stuttgart: Ernst Klett Verlag, S. 173.</w:t>
      </w:r>
    </w:p>
  </w:footnote>
  <w:footnote w:id="3">
    <w:p w14:paraId="12568C26" w14:textId="77777777" w:rsidR="004A2148" w:rsidRDefault="00AC4930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Asselborn et al. (2014)</w:t>
      </w:r>
      <w:r>
        <w:rPr>
          <w:sz w:val="18"/>
          <w:szCs w:val="18"/>
        </w:rPr>
        <w:t>. Chemie heute – Teilband 1. Niedersachsen. Braunschweig: Schroedel, S. 118.</w:t>
      </w:r>
    </w:p>
  </w:footnote>
  <w:footnote w:id="4">
    <w:p w14:paraId="1D4B507E" w14:textId="77777777" w:rsidR="004A2148" w:rsidRDefault="00AC4930">
      <w:pPr>
        <w:pStyle w:val="Funotentext"/>
        <w:ind w:left="142" w:hanging="142"/>
        <w:jc w:val="left"/>
        <w:rPr>
          <w:rFonts w:eastAsia="Times New Roman"/>
          <w:sz w:val="16"/>
          <w:szCs w:val="16"/>
        </w:rPr>
      </w:pPr>
      <w:r>
        <w:rPr>
          <w:rStyle w:val="Funotenzeichen"/>
          <w:sz w:val="18"/>
          <w:szCs w:val="18"/>
        </w:rPr>
        <w:footnoteRef/>
      </w:r>
      <w:r>
        <w:rPr>
          <w:rStyle w:val="Funotenzeichen"/>
          <w:sz w:val="18"/>
          <w:szCs w:val="18"/>
        </w:rPr>
        <w:t xml:space="preserve"> </w:t>
      </w:r>
      <w:r>
        <w:rPr>
          <w:rStyle w:val="Funotenzeiche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 xml:space="preserve">Irmer, E. (2008). </w:t>
      </w:r>
      <w:proofErr w:type="spellStart"/>
      <w:r>
        <w:rPr>
          <w:rFonts w:eastAsia="Times New Roman"/>
          <w:sz w:val="18"/>
          <w:szCs w:val="18"/>
        </w:rPr>
        <w:t>elemente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chemie</w:t>
      </w:r>
      <w:proofErr w:type="spellEnd"/>
      <w:r>
        <w:rPr>
          <w:rFonts w:eastAsia="Times New Roman"/>
          <w:sz w:val="18"/>
          <w:szCs w:val="18"/>
        </w:rPr>
        <w:t xml:space="preserve"> 9/10 für die Klassen 9/10 im achtjährigen Bildungsgang der Gymnasien in Niedersachsen. Stuttgart: Ernst Klett Verlag, S.147.</w:t>
      </w:r>
    </w:p>
  </w:footnote>
  <w:footnote w:id="5">
    <w:p w14:paraId="6D5BBE93" w14:textId="77777777" w:rsidR="004A2148" w:rsidRDefault="00AC4930">
      <w:pPr>
        <w:spacing w:after="0" w:line="240" w:lineRule="auto"/>
        <w:ind w:left="142" w:hanging="142"/>
        <w:rPr>
          <w:rFonts w:eastAsia="Times New Roman"/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eastAsia="Times New Roman"/>
          <w:sz w:val="18"/>
          <w:szCs w:val="18"/>
        </w:rPr>
        <w:t>In der Schule relevante Textsorten korrelieren typischerweise mit den in curricularen Vorgaben spezifizierten Operatoren (</w:t>
      </w:r>
      <w:r>
        <w:rPr>
          <w:rFonts w:eastAsia="Times New Roman"/>
          <w:i/>
          <w:sz w:val="18"/>
          <w:szCs w:val="18"/>
        </w:rPr>
        <w:t>protokollieren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/>
          <w:i/>
          <w:sz w:val="18"/>
          <w:szCs w:val="18"/>
        </w:rPr>
        <w:t>erörtern</w:t>
      </w:r>
      <w:r>
        <w:rPr>
          <w:rFonts w:eastAsia="Times New Roman"/>
          <w:sz w:val="18"/>
          <w:szCs w:val="18"/>
        </w:rPr>
        <w:t xml:space="preserve"> etc.) – siehe etwa Kerncurriculum Gymnasium, JG. 5-10, Naturwissenschaften:  </w:t>
      </w:r>
      <w:r>
        <w:rPr>
          <w:rFonts w:eastAsia="Times New Roman"/>
          <w:sz w:val="18"/>
          <w:szCs w:val="18"/>
        </w:rPr>
        <w:br/>
      </w:r>
      <w:r>
        <w:rPr>
          <w:sz w:val="18"/>
          <w:szCs w:val="18"/>
        </w:rPr>
        <w:t xml:space="preserve">URL: </w:t>
      </w:r>
      <w:r>
        <w:rPr>
          <w:rFonts w:eastAsia="Times New Roman"/>
          <w:sz w:val="18"/>
          <w:szCs w:val="18"/>
        </w:rPr>
        <w:t>http://www.nibis.de/upload</w:t>
      </w:r>
      <w:r>
        <w:rPr>
          <w:rFonts w:eastAsia="Times New Roman"/>
          <w:sz w:val="18"/>
          <w:szCs w:val="18"/>
        </w:rPr>
        <w:t>s/1gohrgs/kc_2015/NW_Gym_SI_KC_Druck.pdf [Zugriff am 19.02.2022]</w:t>
      </w:r>
    </w:p>
  </w:footnote>
  <w:footnote w:id="6">
    <w:p w14:paraId="73AAEE35" w14:textId="77777777" w:rsidR="004A2148" w:rsidRDefault="00AC4930">
      <w:pPr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Funotenzeichen"/>
          <w:sz w:val="18"/>
          <w:szCs w:val="18"/>
        </w:rPr>
        <w:footnoteRef/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ab/>
        <w:t>Baack et al. (2013). Natura 1. Biologie für Gymnasien. Stuttgart: Ernst Klett Verlag, S. 173.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5A2A" w14:textId="77777777" w:rsidR="004A2148" w:rsidRDefault="004A21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B503" w14:textId="77777777" w:rsidR="004A2148" w:rsidRDefault="00AC4930">
    <w:pPr>
      <w:pStyle w:val="Kopfzeile"/>
      <w:spacing w:after="0" w:line="240" w:lineRule="auto"/>
      <w:rPr>
        <w:rFonts w:cs="Open Sans"/>
      </w:rPr>
    </w:pPr>
    <w:r>
      <w:rPr>
        <w:rFonts w:cs="Open Sans"/>
      </w:rPr>
      <w:t>Handreichung „Sprachbildung im Fach“</w:t>
    </w:r>
  </w:p>
  <w:p w14:paraId="1C59F175" w14:textId="77777777" w:rsidR="004A2148" w:rsidRDefault="00AC4930">
    <w:pPr>
      <w:pStyle w:val="Kopfzeile"/>
      <w:spacing w:after="0" w:line="240" w:lineRule="auto"/>
      <w:rPr>
        <w:rFonts w:cs="Open Sans"/>
      </w:rPr>
    </w:pPr>
    <w:r>
      <w:rPr>
        <w:rFonts w:cs="Open Sans"/>
      </w:rPr>
      <w:t>Material zu Fortbildungsbaustein 5:</w:t>
    </w:r>
  </w:p>
  <w:p w14:paraId="4190E647" w14:textId="77777777" w:rsidR="004A2148" w:rsidRDefault="00AC4930">
    <w:pPr>
      <w:pStyle w:val="Kopfzeile"/>
      <w:spacing w:after="0" w:line="240" w:lineRule="auto"/>
      <w:rPr>
        <w:rFonts w:cs="Open Sans"/>
      </w:rPr>
    </w:pPr>
    <w:r>
      <w:rPr>
        <w:rFonts w:cs="Open Sans"/>
      </w:rPr>
      <w:t>„</w:t>
    </w:r>
    <w:r>
      <w:rPr>
        <w:rFonts w:cs="Open Sans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0B3777" wp14:editId="745B97A2">
              <wp:simplePos x="0" y="0"/>
              <wp:positionH relativeFrom="rightMargin">
                <wp:posOffset>-1742440</wp:posOffset>
              </wp:positionH>
              <wp:positionV relativeFrom="topMargin">
                <wp:posOffset>360045</wp:posOffset>
              </wp:positionV>
              <wp:extent cx="1724400" cy="788400"/>
              <wp:effectExtent l="0" t="0" r="0" b="0"/>
              <wp:wrapNone/>
              <wp:docPr id="1" name="Bild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50416_umbruechegestalten_OK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24400" cy="78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right-margin-area;margin-left:-137.2pt;mso-position-horizontal:absolute;mso-position-vertical-relative:top-margin-area;margin-top:28.3pt;mso-position-vertical:absolute;width:135.8pt;height:62.1pt;" stroked="false">
              <v:path textboxrect="0,0,0,0"/>
              <v:imagedata r:id="rId2" o:title=""/>
            </v:shape>
          </w:pict>
        </mc:Fallback>
      </mc:AlternateContent>
    </w:r>
    <w:r>
      <w:rPr>
        <w:rFonts w:cs="Open Sans"/>
      </w:rPr>
      <w:t>Sprache im Fach“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1006" w14:textId="77777777" w:rsidR="004A2148" w:rsidRDefault="004A21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AC8"/>
    <w:multiLevelType w:val="hybridMultilevel"/>
    <w:tmpl w:val="F37C9DBE"/>
    <w:lvl w:ilvl="0" w:tplc="0D9684EE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174062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8CC3FE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E87445D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AE604E3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90D6B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3DCE28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75188C72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A8251B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3B51EB"/>
    <w:multiLevelType w:val="hybridMultilevel"/>
    <w:tmpl w:val="B9208990"/>
    <w:lvl w:ilvl="0" w:tplc="EB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A6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8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4A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F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65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E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21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08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D4B"/>
    <w:multiLevelType w:val="hybridMultilevel"/>
    <w:tmpl w:val="6ACC78A0"/>
    <w:lvl w:ilvl="0" w:tplc="23AAAD4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47D8A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6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B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02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8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29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8B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2D8D"/>
    <w:multiLevelType w:val="hybridMultilevel"/>
    <w:tmpl w:val="6EA065B0"/>
    <w:lvl w:ilvl="0" w:tplc="92C2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4B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8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2F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AE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E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2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B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22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2182"/>
    <w:multiLevelType w:val="hybridMultilevel"/>
    <w:tmpl w:val="5B6831BA"/>
    <w:lvl w:ilvl="0" w:tplc="0CF0A5E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51C09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CB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A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6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67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6F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C5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63CE"/>
    <w:multiLevelType w:val="hybridMultilevel"/>
    <w:tmpl w:val="38B49CCA"/>
    <w:lvl w:ilvl="0" w:tplc="5FC8E43E">
      <w:start w:val="1"/>
      <w:numFmt w:val="bullet"/>
      <w:lvlText w:val="→"/>
      <w:lvlJc w:val="left"/>
      <w:pPr>
        <w:ind w:left="1077" w:hanging="360"/>
      </w:pPr>
      <w:rPr>
        <w:rFonts w:ascii="Calibri" w:hAnsi="Calibri" w:hint="default"/>
      </w:rPr>
    </w:lvl>
    <w:lvl w:ilvl="1" w:tplc="C43CA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C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E0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8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0D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6D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4D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20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502A6"/>
    <w:multiLevelType w:val="hybridMultilevel"/>
    <w:tmpl w:val="6D32B53A"/>
    <w:lvl w:ilvl="0" w:tplc="00FC0D9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5D20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64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E8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E1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4A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82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6F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48"/>
    <w:rsid w:val="00106B30"/>
    <w:rsid w:val="004A2148"/>
    <w:rsid w:val="006C1858"/>
    <w:rsid w:val="00A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329D"/>
  <w15:docId w15:val="{9E978358-7C38-4A7B-A0A0-3D879BF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Rotis Sans Serif Std Light" w:hAnsi="Rotis Sans Serif Std Light"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Theme="minorHAnsi" w:eastAsiaTheme="minorEastAsia" w:hAnsiTheme="minorHAns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3CC25C8-70C5-4610-97C3-C1BA8DE2F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Fenja Netzer</cp:lastModifiedBy>
  <cp:revision>2</cp:revision>
  <dcterms:created xsi:type="dcterms:W3CDTF">2022-03-09T15:11:00Z</dcterms:created>
  <dcterms:modified xsi:type="dcterms:W3CDTF">2022-03-09T15:11:00Z</dcterms:modified>
</cp:coreProperties>
</file>