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tblLook w:val="00A0" w:firstRow="1" w:lastRow="0" w:firstColumn="1" w:lastColumn="0" w:noHBand="0" w:noVBand="0"/>
      </w:tblPr>
      <w:tblGrid>
        <w:gridCol w:w="9351"/>
      </w:tblGrid>
      <w:tr w:rsidR="00EA7DE3" w:rsidRPr="00057157" w14:paraId="633D004C" w14:textId="77777777" w:rsidTr="003658C1">
        <w:tc>
          <w:tcPr>
            <w:tcW w:w="9351" w:type="dxa"/>
          </w:tcPr>
          <w:p w14:paraId="3B9BCE10" w14:textId="5CAF8FBA" w:rsidR="00EA7DE3" w:rsidRPr="00057157" w:rsidRDefault="00EA7DE3" w:rsidP="00EA7DE3">
            <w:pPr>
              <w:spacing w:after="0" w:line="240" w:lineRule="auto"/>
            </w:pPr>
            <w:bookmarkStart w:id="0" w:name="_GoBack"/>
            <w:bookmarkEnd w:id="0"/>
            <w:r w:rsidRPr="00057157">
              <w:rPr>
                <w:b/>
                <w:sz w:val="28"/>
                <w:szCs w:val="28"/>
              </w:rPr>
              <w:t>Lösungsvorschlag Schulbuchtext</w:t>
            </w:r>
            <w:r>
              <w:rPr>
                <w:b/>
                <w:sz w:val="28"/>
                <w:szCs w:val="28"/>
              </w:rPr>
              <w:t>-A</w:t>
            </w:r>
            <w:r w:rsidRPr="00057157">
              <w:rPr>
                <w:b/>
                <w:sz w:val="28"/>
                <w:szCs w:val="28"/>
              </w:rPr>
              <w:t xml:space="preserve">nalyse </w:t>
            </w:r>
            <w:r>
              <w:rPr>
                <w:sz w:val="24"/>
                <w:szCs w:val="24"/>
              </w:rPr>
              <w:br/>
              <w:t>(</w:t>
            </w:r>
            <w:r w:rsidRPr="00057157">
              <w:rPr>
                <w:sz w:val="24"/>
                <w:szCs w:val="24"/>
              </w:rPr>
              <w:t>angegeben sind jeweils nur einige Beispiele)</w:t>
            </w:r>
          </w:p>
        </w:tc>
      </w:tr>
      <w:tr w:rsidR="00EA7DE3" w:rsidRPr="00057157" w14:paraId="7FFBF527" w14:textId="77777777" w:rsidTr="003658C1">
        <w:tc>
          <w:tcPr>
            <w:tcW w:w="9351" w:type="dxa"/>
          </w:tcPr>
          <w:p w14:paraId="36413E33" w14:textId="77777777" w:rsidR="00EA7DE3" w:rsidRPr="00057157" w:rsidRDefault="00EA7DE3" w:rsidP="003658C1">
            <w:pPr>
              <w:spacing w:before="40" w:after="0" w:line="240" w:lineRule="auto"/>
            </w:pPr>
            <w:r w:rsidRPr="00057157">
              <w:rPr>
                <w:b/>
                <w:sz w:val="24"/>
                <w:szCs w:val="24"/>
              </w:rPr>
              <w:t>1. Wortebene</w:t>
            </w:r>
          </w:p>
        </w:tc>
      </w:tr>
      <w:tr w:rsidR="00EA7DE3" w:rsidRPr="00057157" w14:paraId="2AAB4DDE" w14:textId="77777777" w:rsidTr="003658C1">
        <w:tc>
          <w:tcPr>
            <w:tcW w:w="9351" w:type="dxa"/>
          </w:tcPr>
          <w:p w14:paraId="083968F4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alltagssprachliche Wörter, die fachsprachlich eine Bedeutungsverschiebung erfahren: </w:t>
            </w:r>
          </w:p>
          <w:p w14:paraId="1D7C0839" w14:textId="4ABD6ECC" w:rsidR="00EA7DE3" w:rsidRPr="003658C1" w:rsidRDefault="00F57C97" w:rsidP="00EA7DE3">
            <w:pPr>
              <w:spacing w:after="0" w:line="240" w:lineRule="auto"/>
              <w:ind w:left="340"/>
            </w:pPr>
            <w:r>
              <w:t>Rolle, Animation, Einsatz, Mischtypen, aktivieren</w:t>
            </w:r>
            <w:r w:rsidR="0015404E">
              <w:t>, über Animationen (= mithilfe von Animationen)</w:t>
            </w:r>
          </w:p>
          <w:p w14:paraId="3A54334C" w14:textId="77777777" w:rsidR="00EA7DE3" w:rsidRPr="003658C1" w:rsidRDefault="00EA7DE3" w:rsidP="00EA7DE3">
            <w:pPr>
              <w:spacing w:after="0" w:line="240" w:lineRule="auto"/>
            </w:pPr>
            <w:r w:rsidRPr="003658C1">
              <w:rPr>
                <w:b/>
              </w:rPr>
              <w:t>Fachwörter und Abkürzungen</w:t>
            </w:r>
            <w:r w:rsidRPr="003658C1">
              <w:t xml:space="preserve">: </w:t>
            </w:r>
          </w:p>
          <w:p w14:paraId="4B40B41D" w14:textId="73703502" w:rsidR="00EA7DE3" w:rsidRPr="003658C1" w:rsidRDefault="00F57C97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>Screenshots, Audio- und Videoclips, Animation</w:t>
            </w:r>
          </w:p>
          <w:p w14:paraId="0C4A9DA5" w14:textId="77777777" w:rsidR="00EA7DE3" w:rsidRPr="003658C1" w:rsidRDefault="00EA7DE3" w:rsidP="00EA7DE3">
            <w:pPr>
              <w:spacing w:after="0" w:line="240" w:lineRule="auto"/>
              <w:rPr>
                <w:i/>
              </w:rPr>
            </w:pPr>
            <w:r w:rsidRPr="003658C1">
              <w:rPr>
                <w:b/>
              </w:rPr>
              <w:t>Fachwörter in Form von Nominalisierungen</w:t>
            </w:r>
            <w:r w:rsidRPr="003658C1">
              <w:t>:</w:t>
            </w:r>
            <w:r w:rsidRPr="003658C1">
              <w:rPr>
                <w:i/>
              </w:rPr>
              <w:t xml:space="preserve"> </w:t>
            </w:r>
          </w:p>
          <w:p w14:paraId="258E8601" w14:textId="33F60679" w:rsidR="00EA7DE3" w:rsidRPr="003658C1" w:rsidRDefault="00F57C97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>der Vortragende, zur Illustration</w:t>
            </w:r>
          </w:p>
          <w:p w14:paraId="67B79DA4" w14:textId="77777777" w:rsidR="00EA7DE3" w:rsidRPr="003658C1" w:rsidRDefault="00EA7DE3" w:rsidP="00EA7DE3">
            <w:pPr>
              <w:spacing w:after="0" w:line="240" w:lineRule="auto"/>
            </w:pPr>
            <w:r w:rsidRPr="003658C1">
              <w:rPr>
                <w:b/>
              </w:rPr>
              <w:t>Fachwörter in Form von Komposita (zusammengesetzten Nomen)</w:t>
            </w:r>
            <w:r w:rsidRPr="003658C1">
              <w:t xml:space="preserve">: </w:t>
            </w:r>
          </w:p>
          <w:p w14:paraId="0A278F26" w14:textId="225596F3" w:rsidR="00EA7DE3" w:rsidRPr="00057157" w:rsidRDefault="00F57C97" w:rsidP="00EA7DE3">
            <w:pPr>
              <w:spacing w:after="0" w:line="240" w:lineRule="auto"/>
              <w:ind w:left="340"/>
            </w:pPr>
            <w:r>
              <w:t>Moderationskarten, Gedächtnisstütze, Beispielmedien, Zeitungsausschnitte, Berufsalltag, Präsentationsfolien</w:t>
            </w:r>
          </w:p>
        </w:tc>
      </w:tr>
      <w:tr w:rsidR="00EA7DE3" w:rsidRPr="00057157" w14:paraId="3C06869A" w14:textId="77777777" w:rsidTr="003658C1">
        <w:tc>
          <w:tcPr>
            <w:tcW w:w="9351" w:type="dxa"/>
          </w:tcPr>
          <w:p w14:paraId="08D705CF" w14:textId="77777777" w:rsidR="00EA7DE3" w:rsidRPr="00057157" w:rsidRDefault="00EA7DE3" w:rsidP="003658C1">
            <w:pPr>
              <w:spacing w:before="40" w:after="0" w:line="240" w:lineRule="auto"/>
              <w:rPr>
                <w:b/>
              </w:rPr>
            </w:pPr>
            <w:r w:rsidRPr="00057157">
              <w:rPr>
                <w:b/>
                <w:sz w:val="24"/>
                <w:szCs w:val="24"/>
              </w:rPr>
              <w:t xml:space="preserve">2. Satzebene </w:t>
            </w:r>
          </w:p>
        </w:tc>
      </w:tr>
      <w:tr w:rsidR="00EA7DE3" w:rsidRPr="00057157" w14:paraId="616981B3" w14:textId="77777777" w:rsidTr="003658C1">
        <w:tc>
          <w:tcPr>
            <w:tcW w:w="9351" w:type="dxa"/>
          </w:tcPr>
          <w:p w14:paraId="3A676930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unpersönliche Ausdrucksweise – Passiv und </w:t>
            </w:r>
            <w:r w:rsidRPr="003658C1">
              <w:rPr>
                <w:b/>
                <w:i/>
              </w:rPr>
              <w:t>man</w:t>
            </w:r>
            <w:r w:rsidRPr="003658C1">
              <w:rPr>
                <w:b/>
              </w:rPr>
              <w:t>:</w:t>
            </w:r>
          </w:p>
          <w:p w14:paraId="24B9BF01" w14:textId="2AFBE9E9" w:rsidR="00EA7DE3" w:rsidRDefault="00F57C97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Präsentationsfolien </w:t>
            </w:r>
            <w:r w:rsidRPr="00F57C97">
              <w:rPr>
                <w:b/>
                <w:i/>
              </w:rPr>
              <w:t>lassen sich</w:t>
            </w:r>
            <w:r>
              <w:rPr>
                <w:i/>
              </w:rPr>
              <w:t xml:space="preserve"> </w:t>
            </w:r>
            <w:r w:rsidRPr="00F57C97">
              <w:rPr>
                <w:b/>
                <w:i/>
              </w:rPr>
              <w:t>gestalten</w:t>
            </w:r>
            <w:r>
              <w:rPr>
                <w:i/>
              </w:rPr>
              <w:t xml:space="preserve"> und </w:t>
            </w:r>
            <w:r w:rsidRPr="00F57C97">
              <w:rPr>
                <w:b/>
                <w:i/>
              </w:rPr>
              <w:t>bearbeiten</w:t>
            </w:r>
            <w:r>
              <w:rPr>
                <w:i/>
              </w:rPr>
              <w:t xml:space="preserve">. </w:t>
            </w:r>
          </w:p>
          <w:p w14:paraId="0580556D" w14:textId="22A6546C" w:rsidR="00CA7F40" w:rsidRPr="003658C1" w:rsidRDefault="00F57C97" w:rsidP="0069582B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Zudem kann </w:t>
            </w:r>
            <w:r w:rsidRPr="00F57C97">
              <w:rPr>
                <w:b/>
                <w:i/>
              </w:rPr>
              <w:t>man</w:t>
            </w:r>
            <w:r>
              <w:rPr>
                <w:i/>
              </w:rPr>
              <w:t xml:space="preserve"> Fotos, Diagramme und Medien ohne großen Aufwand integrieren.</w:t>
            </w:r>
          </w:p>
          <w:p w14:paraId="04E143E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Attribute (komplexe Beifügungen): </w:t>
            </w:r>
          </w:p>
          <w:p w14:paraId="5555D6DC" w14:textId="4B9697A2" w:rsidR="00EA7DE3" w:rsidRDefault="00CA7F40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… die </w:t>
            </w:r>
            <w:r w:rsidRPr="00CA7F40">
              <w:rPr>
                <w:i/>
                <w:u w:val="single"/>
              </w:rPr>
              <w:t>einfachste</w:t>
            </w:r>
            <w:r>
              <w:rPr>
                <w:i/>
              </w:rPr>
              <w:t xml:space="preserve"> und </w:t>
            </w:r>
            <w:r w:rsidRPr="00CA7F40">
              <w:rPr>
                <w:i/>
                <w:u w:val="single"/>
              </w:rPr>
              <w:t xml:space="preserve">zugleich anschaulichste </w:t>
            </w:r>
            <w:r>
              <w:rPr>
                <w:i/>
              </w:rPr>
              <w:t>Methode …</w:t>
            </w:r>
          </w:p>
          <w:p w14:paraId="035459A6" w14:textId="6A3CA50A" w:rsidR="00CA7F40" w:rsidRDefault="00CA7F40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… eine </w:t>
            </w:r>
            <w:r w:rsidRPr="00CA7F40">
              <w:rPr>
                <w:i/>
                <w:u w:val="single"/>
              </w:rPr>
              <w:t>vorab geplante</w:t>
            </w:r>
            <w:r>
              <w:rPr>
                <w:i/>
              </w:rPr>
              <w:t xml:space="preserve"> Struktur.</w:t>
            </w:r>
          </w:p>
          <w:p w14:paraId="43CD2558" w14:textId="03089A55" w:rsidR="00CA7F40" w:rsidRPr="003658C1" w:rsidRDefault="00CA7F40" w:rsidP="00CA7F40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… </w:t>
            </w:r>
            <w:r w:rsidRPr="00CA7F40">
              <w:rPr>
                <w:i/>
                <w:u w:val="single"/>
              </w:rPr>
              <w:t xml:space="preserve">vier zusammengehörende </w:t>
            </w:r>
            <w:r>
              <w:rPr>
                <w:i/>
              </w:rPr>
              <w:t>Stichpunkte …</w:t>
            </w:r>
          </w:p>
          <w:p w14:paraId="59208FE9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Verben mit Präpositionen:</w:t>
            </w:r>
          </w:p>
          <w:p w14:paraId="513DBD41" w14:textId="62D78076" w:rsidR="00EA7DE3" w:rsidRPr="003658C1" w:rsidRDefault="00CA7F40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>verteilen auf …</w:t>
            </w:r>
            <w:r w:rsidR="0015404E">
              <w:rPr>
                <w:i/>
              </w:rPr>
              <w:t xml:space="preserve">, </w:t>
            </w:r>
            <w:proofErr w:type="spellStart"/>
            <w:r w:rsidR="0015404E">
              <w:rPr>
                <w:i/>
              </w:rPr>
              <w:t>hinweisen</w:t>
            </w:r>
            <w:proofErr w:type="spellEnd"/>
            <w:r w:rsidR="0015404E">
              <w:rPr>
                <w:i/>
              </w:rPr>
              <w:t xml:space="preserve"> auf …, ankommen auf …</w:t>
            </w:r>
          </w:p>
          <w:p w14:paraId="489237C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Funktionsverbgefüge (Nomen-Verb-Verbindungen):</w:t>
            </w:r>
          </w:p>
          <w:p w14:paraId="2C7202D1" w14:textId="2AE62410" w:rsidR="00EA7DE3" w:rsidRPr="003658C1" w:rsidRDefault="0015404E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>… zum Lachen bringen.</w:t>
            </w:r>
          </w:p>
          <w:p w14:paraId="2CE2D0A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trennbare Verben:</w:t>
            </w:r>
          </w:p>
          <w:p w14:paraId="146AC659" w14:textId="07A3A47B" w:rsidR="00EA7DE3" w:rsidRPr="003658C1" w:rsidRDefault="0015404E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(abgelöst), (vorzulesen), </w:t>
            </w:r>
            <w:r w:rsidR="005108F6">
              <w:rPr>
                <w:i/>
              </w:rPr>
              <w:t>…setzt…um, (einzuführen), …bieten sich…an, kommt…an</w:t>
            </w:r>
          </w:p>
          <w:p w14:paraId="5F480299" w14:textId="21717300" w:rsidR="00EA7DE3" w:rsidRPr="003658C1" w:rsidRDefault="005108F6" w:rsidP="00EA7DE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Finalsatz (Ziel</w:t>
            </w:r>
            <w:r w:rsidR="00EA7DE3" w:rsidRPr="003658C1">
              <w:rPr>
                <w:b/>
              </w:rPr>
              <w:t>):</w:t>
            </w:r>
            <w:r w:rsidR="00EA7DE3" w:rsidRPr="003658C1">
              <w:rPr>
                <w:b/>
                <w:i/>
              </w:rPr>
              <w:t xml:space="preserve"> </w:t>
            </w:r>
          </w:p>
          <w:p w14:paraId="68987F3F" w14:textId="3274EAB2" w:rsidR="00EA7DE3" w:rsidRPr="003658C1" w:rsidRDefault="005108F6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Zudem bieten sich Animationen an, </w:t>
            </w:r>
            <w:r w:rsidRPr="005108F6">
              <w:rPr>
                <w:i/>
                <w:u w:val="single"/>
              </w:rPr>
              <w:t>um das Publikum zu aktivieren</w:t>
            </w:r>
            <w:r>
              <w:rPr>
                <w:i/>
              </w:rPr>
              <w:t xml:space="preserve"> (…).</w:t>
            </w:r>
          </w:p>
          <w:p w14:paraId="3D5681A8" w14:textId="410688AB" w:rsidR="00EA7DE3" w:rsidRPr="003658C1" w:rsidRDefault="00EA7DE3" w:rsidP="005108F6">
            <w:pPr>
              <w:tabs>
                <w:tab w:val="left" w:pos="6885"/>
              </w:tabs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Konditionalsatz (Bedingung): </w:t>
            </w:r>
            <w:r w:rsidR="005108F6">
              <w:rPr>
                <w:b/>
              </w:rPr>
              <w:tab/>
            </w:r>
          </w:p>
          <w:p w14:paraId="3AB8E7D8" w14:textId="2BE9BD0E" w:rsidR="00EA7DE3" w:rsidRPr="003658C1" w:rsidRDefault="005108F6" w:rsidP="00EA7DE3">
            <w:pPr>
              <w:spacing w:after="0" w:line="240" w:lineRule="auto"/>
              <w:ind w:left="340"/>
              <w:rPr>
                <w:i/>
              </w:rPr>
            </w:pPr>
            <w:r>
              <w:rPr>
                <w:i/>
              </w:rPr>
              <w:t xml:space="preserve">Kästen sollte man nur verwenden, </w:t>
            </w:r>
            <w:r w:rsidRPr="005108F6">
              <w:rPr>
                <w:i/>
                <w:u w:val="single"/>
              </w:rPr>
              <w:t>wenn man auf einen besonderen Inhalt hinweisen will</w:t>
            </w:r>
            <w:r>
              <w:rPr>
                <w:i/>
              </w:rPr>
              <w:t>.</w:t>
            </w:r>
          </w:p>
          <w:p w14:paraId="62A30CD4" w14:textId="32B5E602" w:rsidR="00EA7DE3" w:rsidRPr="003658C1" w:rsidRDefault="00EA7DE3" w:rsidP="005108F6">
            <w:pPr>
              <w:tabs>
                <w:tab w:val="left" w:pos="6375"/>
              </w:tabs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komplexe Satzgefüge: </w:t>
            </w:r>
            <w:r w:rsidR="005108F6">
              <w:rPr>
                <w:b/>
              </w:rPr>
              <w:tab/>
            </w:r>
          </w:p>
          <w:p w14:paraId="2430062C" w14:textId="35BB8A9B" w:rsidR="00EA7DE3" w:rsidRPr="00373E07" w:rsidRDefault="00373E07" w:rsidP="00EA7DE3">
            <w:pPr>
              <w:spacing w:after="0" w:line="240" w:lineRule="auto"/>
              <w:ind w:left="340"/>
            </w:pPr>
            <w:r>
              <w:t>Sie zeigen aussagekräftige Zitate, Grafiken, Fotos, um das Publikum emotional in das Thema einzuführen, in eine Diskussion zu locken, es zum Lachen zu bringen oder zu provozieren.</w:t>
            </w:r>
          </w:p>
        </w:tc>
      </w:tr>
      <w:tr w:rsidR="00EA7DE3" w:rsidRPr="00057157" w14:paraId="7F9C887E" w14:textId="77777777" w:rsidTr="003658C1">
        <w:tc>
          <w:tcPr>
            <w:tcW w:w="9351" w:type="dxa"/>
          </w:tcPr>
          <w:p w14:paraId="27A1A751" w14:textId="77777777" w:rsidR="00EA7DE3" w:rsidRPr="00057157" w:rsidRDefault="00EA7DE3" w:rsidP="003658C1">
            <w:pPr>
              <w:spacing w:before="40" w:after="0" w:line="240" w:lineRule="auto"/>
              <w:rPr>
                <w:b/>
              </w:rPr>
            </w:pPr>
            <w:r w:rsidRPr="00057157">
              <w:rPr>
                <w:b/>
                <w:sz w:val="24"/>
                <w:szCs w:val="24"/>
              </w:rPr>
              <w:t xml:space="preserve">3. Textebene </w:t>
            </w:r>
          </w:p>
        </w:tc>
      </w:tr>
      <w:tr w:rsidR="00EA7DE3" w:rsidRPr="00057157" w14:paraId="702AA9C0" w14:textId="77777777" w:rsidTr="003658C1">
        <w:tc>
          <w:tcPr>
            <w:tcW w:w="9351" w:type="dxa"/>
          </w:tcPr>
          <w:p w14:paraId="6A2B7CC5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>Markierung des Textzusammenhangs:</w:t>
            </w:r>
          </w:p>
          <w:p w14:paraId="12CCF6D8" w14:textId="70C1E4BA" w:rsidR="00D87FE4" w:rsidRDefault="00373E07" w:rsidP="00D87FE4">
            <w:pPr>
              <w:spacing w:after="0" w:line="240" w:lineRule="auto"/>
              <w:ind w:left="340"/>
            </w:pPr>
            <w:r w:rsidRPr="00D87FE4">
              <w:rPr>
                <w:u w:val="single"/>
              </w:rPr>
              <w:t>Eine computergestützte Präsentation ist die einfachste und zugleich anschaulichste Methode, Informationen zu vermitteln</w:t>
            </w:r>
            <w:r>
              <w:t xml:space="preserve">. </w:t>
            </w:r>
            <w:r w:rsidRPr="00D87FE4">
              <w:rPr>
                <w:u w:val="single"/>
              </w:rPr>
              <w:t>Präsentationsfolien lassen sich vielfältig gestalten und leicht bearbeiten</w:t>
            </w:r>
            <w:r>
              <w:t xml:space="preserve">. </w:t>
            </w:r>
            <w:r w:rsidRPr="00D87FE4">
              <w:rPr>
                <w:u w:val="single"/>
              </w:rPr>
              <w:t>Zudem kann man Fotos, Diagramme und Medien ohne großen Aufwand integrieren</w:t>
            </w:r>
            <w:r>
              <w:t xml:space="preserve">. Präsentationen haben </w:t>
            </w:r>
            <w:r w:rsidRPr="00D87FE4">
              <w:rPr>
                <w:b/>
              </w:rPr>
              <w:t>aus diesen Gründen</w:t>
            </w:r>
            <w:r>
              <w:t xml:space="preserve"> den Vortrag im Berufsalltag abgelöst.</w:t>
            </w:r>
            <w:r w:rsidR="00D87FE4">
              <w:t xml:space="preserve"> </w:t>
            </w:r>
            <w:r w:rsidR="00D87FE4" w:rsidRPr="00D87FE4">
              <w:rPr>
                <w:b/>
              </w:rPr>
              <w:t>Dennoch</w:t>
            </w:r>
            <w:r w:rsidR="00D87FE4">
              <w:t xml:space="preserve"> bestehen weitreichende Parallelen zwischen Präsentation und Vortrag.</w:t>
            </w:r>
          </w:p>
          <w:p w14:paraId="59709CD8" w14:textId="73CE8651" w:rsidR="00D87FE4" w:rsidRDefault="00D87FE4" w:rsidP="00D87FE4">
            <w:pPr>
              <w:spacing w:after="0" w:line="240" w:lineRule="auto"/>
              <w:ind w:left="340"/>
            </w:pPr>
            <w:r w:rsidRPr="00D87FE4">
              <w:rPr>
                <w:u w:val="single"/>
              </w:rPr>
              <w:t>Die Rolle des Vortragenden</w:t>
            </w:r>
            <w:r w:rsidRPr="00D87FE4">
              <w:t xml:space="preserve"> bleibt</w:t>
            </w:r>
            <w:r>
              <w:t xml:space="preserve"> hingegen gleich. Nur </w:t>
            </w:r>
            <w:r w:rsidRPr="00D87FE4">
              <w:rPr>
                <w:b/>
              </w:rPr>
              <w:t>er</w:t>
            </w:r>
            <w:r>
              <w:t xml:space="preserve"> – nicht die Folie – kann  eine Geschichte erzählen.</w:t>
            </w:r>
          </w:p>
          <w:p w14:paraId="4A8737C6" w14:textId="77777777" w:rsidR="00D87FE4" w:rsidRPr="00D87FE4" w:rsidRDefault="00D87FE4" w:rsidP="00D87FE4">
            <w:pPr>
              <w:spacing w:after="0" w:line="240" w:lineRule="auto"/>
              <w:ind w:left="340"/>
            </w:pPr>
            <w:r w:rsidRPr="00D87FE4">
              <w:t>Die Rolle des Vortragenden bleibt</w:t>
            </w:r>
            <w:r>
              <w:t xml:space="preserve"> hingegen gleich. </w:t>
            </w:r>
            <w:r w:rsidRPr="00D87FE4">
              <w:rPr>
                <w:u w:val="single"/>
              </w:rPr>
              <w:t>Nur er</w:t>
            </w:r>
            <w:r>
              <w:t xml:space="preserve"> – </w:t>
            </w:r>
            <w:r w:rsidRPr="00D87FE4">
              <w:rPr>
                <w:b/>
              </w:rPr>
              <w:t>nicht die Folie</w:t>
            </w:r>
            <w:r>
              <w:t xml:space="preserve"> – kann  eine Geschichte erzählen.</w:t>
            </w:r>
          </w:p>
          <w:p w14:paraId="2FAE1B97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  <w:sz w:val="6"/>
                <w:szCs w:val="4"/>
              </w:rPr>
            </w:pPr>
          </w:p>
          <w:p w14:paraId="45654580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weitere Darstellungsformen: </w:t>
            </w:r>
          </w:p>
          <w:p w14:paraId="59280A94" w14:textId="2AED6D1D" w:rsidR="00EA7DE3" w:rsidRPr="00057157" w:rsidRDefault="0069582B" w:rsidP="00792946">
            <w:pPr>
              <w:spacing w:after="0" w:line="240" w:lineRule="auto"/>
              <w:rPr>
                <w:b/>
              </w:rPr>
            </w:pPr>
            <w:r>
              <w:t>Wichtige Begriffe in dem Text sind fettgedruckt. Eine Aufzählung ist in wichtige Stichpunkte gegliedert. Beispiele in Klammern ergänzen den Text.</w:t>
            </w:r>
          </w:p>
        </w:tc>
      </w:tr>
    </w:tbl>
    <w:p w14:paraId="64C986C5" w14:textId="77777777" w:rsidR="00CB00DD" w:rsidRPr="0069582B" w:rsidRDefault="00CB00DD" w:rsidP="003658C1">
      <w:pPr>
        <w:spacing w:after="0" w:line="240" w:lineRule="auto"/>
        <w:rPr>
          <w:rFonts w:cs="Open Sans"/>
          <w:sz w:val="12"/>
          <w:szCs w:val="16"/>
        </w:rPr>
      </w:pPr>
    </w:p>
    <w:sectPr w:rsidR="00CB00DD" w:rsidRPr="0069582B" w:rsidSect="00CB0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5DA9" w14:textId="77777777" w:rsidR="007773E1" w:rsidRDefault="007773E1" w:rsidP="00CB00DD">
      <w:r>
        <w:separator/>
      </w:r>
    </w:p>
  </w:endnote>
  <w:endnote w:type="continuationSeparator" w:id="0">
    <w:p w14:paraId="29AD1BC5" w14:textId="77777777" w:rsidR="007773E1" w:rsidRDefault="007773E1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5AF4" w14:textId="77777777" w:rsidR="00EA7DE3" w:rsidRDefault="00EA7D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6F1715E3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C54301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48EA" w14:textId="77777777" w:rsidR="00EA7DE3" w:rsidRDefault="00EA7D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1426" w14:textId="77777777" w:rsidR="007773E1" w:rsidRDefault="007773E1" w:rsidP="00CB00DD">
      <w:r>
        <w:separator/>
      </w:r>
    </w:p>
  </w:footnote>
  <w:footnote w:type="continuationSeparator" w:id="0">
    <w:p w14:paraId="6665CE3E" w14:textId="77777777" w:rsidR="007773E1" w:rsidRDefault="007773E1" w:rsidP="00CB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EF3C" w14:textId="77777777" w:rsidR="00EA7DE3" w:rsidRDefault="00EA7D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4668271E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>Handreichung „</w:t>
    </w:r>
    <w:r w:rsidR="001F446D">
      <w:rPr>
        <w:rFonts w:asciiTheme="minorHAnsi" w:hAnsiTheme="minorHAnsi" w:cs="Open Sans"/>
        <w:sz w:val="22"/>
        <w:szCs w:val="22"/>
      </w:rPr>
      <w:t>Sprachbildung im Fach</w:t>
    </w:r>
    <w:r w:rsidRPr="00D35885">
      <w:rPr>
        <w:rFonts w:asciiTheme="minorHAnsi" w:hAnsiTheme="minorHAnsi" w:cs="Open Sans"/>
        <w:sz w:val="22"/>
        <w:szCs w:val="22"/>
      </w:rPr>
      <w:t>“</w:t>
    </w:r>
  </w:p>
  <w:p w14:paraId="64C986CC" w14:textId="3269CCCF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 xml:space="preserve">Material zu Fortbildungsbaustein </w:t>
    </w:r>
    <w:r w:rsidR="00EA7DE3">
      <w:rPr>
        <w:rFonts w:asciiTheme="minorHAnsi" w:hAnsiTheme="minorHAnsi" w:cs="Open Sans"/>
        <w:sz w:val="22"/>
        <w:szCs w:val="22"/>
      </w:rPr>
      <w:t>5</w:t>
    </w:r>
    <w:r w:rsidRPr="00D35885">
      <w:rPr>
        <w:rFonts w:asciiTheme="minorHAnsi" w:hAnsiTheme="minorHAnsi" w:cs="Open Sans"/>
        <w:sz w:val="22"/>
        <w:szCs w:val="22"/>
      </w:rPr>
      <w:t>:</w:t>
    </w:r>
  </w:p>
  <w:p w14:paraId="64C986CD" w14:textId="5F6D4020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>„</w:t>
    </w:r>
    <w:r w:rsidRPr="00D35885">
      <w:rPr>
        <w:rFonts w:asciiTheme="minorHAnsi" w:hAnsiTheme="minorHAnsi" w:cs="Open Sans"/>
        <w:noProof/>
        <w:sz w:val="22"/>
        <w:szCs w:val="22"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DE3">
      <w:rPr>
        <w:rFonts w:asciiTheme="minorHAnsi" w:hAnsiTheme="minorHAnsi" w:cs="Open Sans"/>
        <w:sz w:val="22"/>
        <w:szCs w:val="22"/>
      </w:rPr>
      <w:t>Sprache im Fach</w:t>
    </w:r>
    <w:r w:rsidRPr="00D35885">
      <w:rPr>
        <w:rFonts w:asciiTheme="minorHAnsi" w:hAnsiTheme="minorHAnsi" w:cs="Open Sans"/>
        <w:sz w:val="22"/>
        <w:szCs w:val="22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3DBF" w14:textId="77777777" w:rsidR="00EA7DE3" w:rsidRDefault="00EA7D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15404E"/>
    <w:rsid w:val="001F446D"/>
    <w:rsid w:val="003658C1"/>
    <w:rsid w:val="00373E07"/>
    <w:rsid w:val="005108F6"/>
    <w:rsid w:val="005E3487"/>
    <w:rsid w:val="0069582B"/>
    <w:rsid w:val="006F31B1"/>
    <w:rsid w:val="0075132F"/>
    <w:rsid w:val="007773E1"/>
    <w:rsid w:val="00792946"/>
    <w:rsid w:val="00876714"/>
    <w:rsid w:val="00B1741D"/>
    <w:rsid w:val="00C54301"/>
    <w:rsid w:val="00CA7F40"/>
    <w:rsid w:val="00CB00DD"/>
    <w:rsid w:val="00D35885"/>
    <w:rsid w:val="00D87FE4"/>
    <w:rsid w:val="00EA7DE3"/>
    <w:rsid w:val="00F21AC1"/>
    <w:rsid w:val="00F57C97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6C3"/>
  <w15:chartTrackingRefBased/>
  <w15:docId w15:val="{8FE73A5C-A7B2-4613-9961-E38E4D2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DE3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  <w:spacing w:after="0" w:line="240" w:lineRule="auto"/>
    </w:pPr>
    <w:rPr>
      <w:rFonts w:ascii="Rotis Sans Serif Std Light" w:hAnsi="Rotis Sans Serif Std Light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  <w:spacing w:after="0" w:line="240" w:lineRule="auto"/>
    </w:pPr>
    <w:rPr>
      <w:rFonts w:ascii="Rotis Sans Serif Std Light" w:hAnsi="Rotis Sans Serif Std Light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table" w:styleId="Tabellenraster">
    <w:name w:val="Table Grid"/>
    <w:basedOn w:val="NormaleTabelle"/>
    <w:uiPriority w:val="39"/>
    <w:rsid w:val="00EA7DE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Heidi Seifert</cp:lastModifiedBy>
  <cp:revision>2</cp:revision>
  <cp:lastPrinted>2017-02-21T09:05:00Z</cp:lastPrinted>
  <dcterms:created xsi:type="dcterms:W3CDTF">2020-08-25T09:53:00Z</dcterms:created>
  <dcterms:modified xsi:type="dcterms:W3CDTF">2020-08-25T09:53:00Z</dcterms:modified>
</cp:coreProperties>
</file>