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9B04E" w14:textId="77777777" w:rsidR="005B0B56" w:rsidRPr="00F3478B" w:rsidRDefault="005B0B56" w:rsidP="005B0B56">
      <w:pPr>
        <w:rPr>
          <w:rFonts w:asciiTheme="minorHAnsi" w:hAnsiTheme="minorHAnsi"/>
          <w:b/>
        </w:rPr>
      </w:pPr>
      <w:bookmarkStart w:id="0" w:name="_GoBack"/>
      <w:bookmarkEnd w:id="0"/>
      <w:r w:rsidRPr="00F3478B">
        <w:rPr>
          <w:rFonts w:asciiTheme="minorHAnsi" w:hAnsiTheme="minorHAnsi"/>
          <w:b/>
        </w:rPr>
        <w:t>Beispiellösung für Aufgabe 2</w:t>
      </w:r>
    </w:p>
    <w:p w14:paraId="69BD6C50" w14:textId="77777777" w:rsidR="005B0B56" w:rsidRPr="00F3478B" w:rsidRDefault="005B0B56" w:rsidP="005B0B56">
      <w:pPr>
        <w:rPr>
          <w:rFonts w:asciiTheme="minorHAnsi" w:hAnsiTheme="minorHAnsi"/>
        </w:rPr>
      </w:pPr>
    </w:p>
    <w:p w14:paraId="22F119F2" w14:textId="77777777" w:rsidR="005B0B56" w:rsidRPr="00F3478B" w:rsidRDefault="005B0B56" w:rsidP="005B0B56">
      <w:pPr>
        <w:rPr>
          <w:rFonts w:asciiTheme="minorHAnsi" w:hAnsiTheme="minorHAnsi"/>
          <w:b/>
        </w:rPr>
      </w:pPr>
      <w:r w:rsidRPr="00F3478B">
        <w:rPr>
          <w:rFonts w:asciiTheme="minorHAnsi" w:hAnsiTheme="minorHAnsi"/>
          <w:b/>
        </w:rPr>
        <w:t>Der Bau eines Muskels</w:t>
      </w:r>
    </w:p>
    <w:p w14:paraId="167D2D70" w14:textId="77777777" w:rsidR="005B0B56" w:rsidRDefault="005B0B56" w:rsidP="005B0B56">
      <w:r>
        <w:rPr>
          <w:rFonts w:asciiTheme="minorHAnsi" w:hAnsiTheme="minorHAnsi"/>
        </w:rPr>
        <w:t xml:space="preserve">Im menschlichen Körper gibt es mehr als 600 Muskeln. Sie machen et_____ die Hälfte der </w:t>
      </w:r>
      <w:proofErr w:type="spellStart"/>
      <w:r>
        <w:rPr>
          <w:rFonts w:asciiTheme="minorHAnsi" w:hAnsiTheme="minorHAnsi"/>
        </w:rPr>
        <w:t>Körperma</w:t>
      </w:r>
      <w:proofErr w:type="spellEnd"/>
      <w:r>
        <w:rPr>
          <w:rFonts w:asciiTheme="minorHAnsi" w:hAnsiTheme="minorHAnsi"/>
        </w:rPr>
        <w:t xml:space="preserve">_______ aus. Ein Mus______ enthält Muskelfasern, die s_____ zusammenziehen können. </w:t>
      </w:r>
      <w:proofErr w:type="spellStart"/>
      <w:r>
        <w:rPr>
          <w:rFonts w:asciiTheme="minorHAnsi" w:hAnsiTheme="minorHAnsi"/>
        </w:rPr>
        <w:t>Meh</w:t>
      </w:r>
      <w:proofErr w:type="spellEnd"/>
      <w:r>
        <w:rPr>
          <w:rFonts w:asciiTheme="minorHAnsi" w:hAnsiTheme="minorHAnsi"/>
        </w:rPr>
        <w:t xml:space="preserve">________ Muskelfasern bilden ein </w:t>
      </w:r>
      <w:proofErr w:type="spellStart"/>
      <w:r>
        <w:rPr>
          <w:rFonts w:asciiTheme="minorHAnsi" w:hAnsiTheme="minorHAnsi"/>
        </w:rPr>
        <w:t>Muskelfaserbün</w:t>
      </w:r>
      <w:proofErr w:type="spellEnd"/>
      <w:r>
        <w:rPr>
          <w:rFonts w:asciiTheme="minorHAnsi" w:hAnsiTheme="minorHAnsi"/>
        </w:rPr>
        <w:t xml:space="preserve">________. Blutgefäße, die </w:t>
      </w:r>
      <w:proofErr w:type="spellStart"/>
      <w:r>
        <w:rPr>
          <w:rFonts w:asciiTheme="minorHAnsi" w:hAnsiTheme="minorHAnsi"/>
        </w:rPr>
        <w:t>i</w:t>
      </w:r>
      <w:proofErr w:type="spellEnd"/>
      <w:r>
        <w:rPr>
          <w:rFonts w:asciiTheme="minorHAnsi" w:hAnsiTheme="minorHAnsi"/>
        </w:rPr>
        <w:t xml:space="preserve">____ Muskel verlaufen, </w:t>
      </w:r>
      <w:proofErr w:type="spellStart"/>
      <w:r>
        <w:rPr>
          <w:rFonts w:asciiTheme="minorHAnsi" w:hAnsiTheme="minorHAnsi"/>
        </w:rPr>
        <w:t>vers</w:t>
      </w:r>
      <w:proofErr w:type="spellEnd"/>
      <w:r>
        <w:rPr>
          <w:rFonts w:asciiTheme="minorHAnsi" w:hAnsiTheme="minorHAnsi"/>
        </w:rPr>
        <w:t xml:space="preserve">_________ ihn mit Nährst________ und Sauerstoff. Die_____ Stoffe werden f______ die Muskelarbeit </w:t>
      </w:r>
      <w:proofErr w:type="spellStart"/>
      <w:r>
        <w:rPr>
          <w:rFonts w:asciiTheme="minorHAnsi" w:hAnsiTheme="minorHAnsi"/>
        </w:rPr>
        <w:t>benö</w:t>
      </w:r>
      <w:proofErr w:type="spellEnd"/>
      <w:r>
        <w:rPr>
          <w:rFonts w:asciiTheme="minorHAnsi" w:hAnsiTheme="minorHAnsi"/>
        </w:rPr>
        <w:t xml:space="preserve">_____. Dabei entsteht </w:t>
      </w:r>
      <w:proofErr w:type="spellStart"/>
      <w:r>
        <w:rPr>
          <w:rFonts w:asciiTheme="minorHAnsi" w:hAnsiTheme="minorHAnsi"/>
        </w:rPr>
        <w:t>Kohlenstoffd</w:t>
      </w:r>
      <w:proofErr w:type="spellEnd"/>
      <w:r>
        <w:rPr>
          <w:rFonts w:asciiTheme="minorHAnsi" w:hAnsiTheme="minorHAnsi"/>
        </w:rPr>
        <w:t xml:space="preserve">________, das über das </w:t>
      </w:r>
      <w:proofErr w:type="spellStart"/>
      <w:r>
        <w:rPr>
          <w:rFonts w:asciiTheme="minorHAnsi" w:hAnsiTheme="minorHAnsi"/>
        </w:rPr>
        <w:t>Bl</w:t>
      </w:r>
      <w:proofErr w:type="spellEnd"/>
      <w:r>
        <w:rPr>
          <w:rFonts w:asciiTheme="minorHAnsi" w:hAnsiTheme="minorHAnsi"/>
        </w:rPr>
        <w:t xml:space="preserve">______ zur Lunge </w:t>
      </w:r>
      <w:proofErr w:type="spellStart"/>
      <w:r>
        <w:rPr>
          <w:rFonts w:asciiTheme="minorHAnsi" w:hAnsiTheme="minorHAnsi"/>
        </w:rPr>
        <w:t>transpo</w:t>
      </w:r>
      <w:proofErr w:type="spellEnd"/>
      <w:r>
        <w:rPr>
          <w:rFonts w:asciiTheme="minorHAnsi" w:hAnsiTheme="minorHAnsi"/>
        </w:rPr>
        <w:t xml:space="preserve">_________ wird. Über </w:t>
      </w:r>
      <w:proofErr w:type="spellStart"/>
      <w:r>
        <w:rPr>
          <w:rFonts w:asciiTheme="minorHAnsi" w:hAnsiTheme="minorHAnsi"/>
        </w:rPr>
        <w:t>Ner</w:t>
      </w:r>
      <w:proofErr w:type="spellEnd"/>
      <w:r>
        <w:rPr>
          <w:rFonts w:asciiTheme="minorHAnsi" w:hAnsiTheme="minorHAnsi"/>
        </w:rPr>
        <w:t xml:space="preserve">_______, die zu den Mus________ führen, werden die Beweg_________ gesteuert. Die </w:t>
      </w:r>
      <w:proofErr w:type="spellStart"/>
      <w:r>
        <w:rPr>
          <w:rFonts w:asciiTheme="minorHAnsi" w:hAnsiTheme="minorHAnsi"/>
        </w:rPr>
        <w:t>Muskelha</w:t>
      </w:r>
      <w:proofErr w:type="spellEnd"/>
      <w:r>
        <w:rPr>
          <w:rFonts w:asciiTheme="minorHAnsi" w:hAnsiTheme="minorHAnsi"/>
        </w:rPr>
        <w:t xml:space="preserve">______ bildet die </w:t>
      </w:r>
      <w:proofErr w:type="spellStart"/>
      <w:r>
        <w:rPr>
          <w:rFonts w:asciiTheme="minorHAnsi" w:hAnsiTheme="minorHAnsi"/>
        </w:rPr>
        <w:t>Muskelen</w:t>
      </w:r>
      <w:proofErr w:type="spellEnd"/>
      <w:r>
        <w:rPr>
          <w:rFonts w:asciiTheme="minorHAnsi" w:hAnsiTheme="minorHAnsi"/>
        </w:rPr>
        <w:t>_________, die Sehnen genannt werden. Mit ihnen ist ein Mus</w:t>
      </w:r>
      <w:r>
        <w:rPr>
          <w:rFonts w:asciiTheme="minorHAnsi" w:hAnsiTheme="minorHAnsi"/>
        </w:rPr>
        <w:softHyphen/>
        <w:t>kel mit dem benachbarten Knochen verbunden.</w:t>
      </w:r>
    </w:p>
    <w:p w14:paraId="5B44D0F7" w14:textId="77777777" w:rsidR="005B0B56" w:rsidRPr="004466AE" w:rsidRDefault="005B0B56" w:rsidP="005B0B56">
      <w:pPr>
        <w:rPr>
          <w:rFonts w:asciiTheme="minorHAnsi" w:hAnsiTheme="minorHAnsi"/>
        </w:rPr>
      </w:pPr>
    </w:p>
    <w:p w14:paraId="7A11852B" w14:textId="77777777" w:rsidR="005B0B56" w:rsidRDefault="005B0B56" w:rsidP="005B0B56">
      <w:pPr>
        <w:rPr>
          <w:rFonts w:asciiTheme="minorHAnsi" w:hAnsiTheme="minorHAnsi"/>
        </w:rPr>
      </w:pPr>
    </w:p>
    <w:p w14:paraId="0D2EC2FA" w14:textId="77777777" w:rsidR="005B0B56" w:rsidRPr="004466AE" w:rsidRDefault="005B0B56" w:rsidP="005B0B56">
      <w:pPr>
        <w:spacing w:after="120"/>
        <w:rPr>
          <w:rFonts w:asciiTheme="minorHAnsi" w:hAnsiTheme="minorHAnsi"/>
        </w:rPr>
      </w:pPr>
      <w:r>
        <w:rPr>
          <w:rFonts w:asciiTheme="minorHAnsi" w:hAnsiTheme="minorHAnsi"/>
        </w:rPr>
        <w:t>Anmerkung</w:t>
      </w:r>
      <w:r w:rsidRPr="004466AE">
        <w:rPr>
          <w:rFonts w:asciiTheme="minorHAnsi" w:hAnsiTheme="minorHAnsi"/>
        </w:rPr>
        <w:t>:</w:t>
      </w:r>
    </w:p>
    <w:p w14:paraId="55FAAA24" w14:textId="1B4226FA" w:rsidR="005B0B56" w:rsidRPr="004466AE" w:rsidRDefault="005B0B56" w:rsidP="005B0B56">
      <w:pPr>
        <w:jc w:val="both"/>
        <w:rPr>
          <w:rFonts w:asciiTheme="minorHAnsi" w:hAnsiTheme="minorHAnsi"/>
        </w:rPr>
      </w:pPr>
      <w:r w:rsidRPr="004466AE">
        <w:rPr>
          <w:rFonts w:asciiTheme="minorHAnsi" w:hAnsiTheme="minorHAnsi"/>
        </w:rPr>
        <w:t xml:space="preserve">Trotz der </w:t>
      </w:r>
      <w:r>
        <w:rPr>
          <w:rFonts w:asciiTheme="minorHAnsi" w:hAnsiTheme="minorHAnsi"/>
        </w:rPr>
        <w:t>klaren Vorgaben zur Testkonstruktion, die Baur/</w:t>
      </w:r>
      <w:proofErr w:type="spellStart"/>
      <w:r>
        <w:rPr>
          <w:rFonts w:asciiTheme="minorHAnsi" w:hAnsiTheme="minorHAnsi"/>
        </w:rPr>
        <w:t>Spettmann</w:t>
      </w:r>
      <w:proofErr w:type="spellEnd"/>
      <w:r>
        <w:rPr>
          <w:rFonts w:asciiTheme="minorHAnsi" w:hAnsiTheme="minorHAnsi"/>
        </w:rPr>
        <w:t xml:space="preserve"> (2009:116) liefern, gibt es verschiedene Lösungsmöglichkeiten. Insbesondere die Vorgabe, die hintere Hälfte jedes dritten Wortes zu löschen, gestaltet sich oft problematisch. So ist es zum Beispiel bei langen zusammen</w:t>
      </w:r>
      <w:r>
        <w:rPr>
          <w:rFonts w:asciiTheme="minorHAnsi" w:hAnsiTheme="minorHAnsi"/>
        </w:rPr>
        <w:softHyphen/>
        <w:t>gesetzten Wortformen (sog. Komposita) wenig sinnvoll, exakt die hintere Hälfte des Wortes zu tilgen, weil sonst Wortformen wie „</w:t>
      </w:r>
      <w:proofErr w:type="spellStart"/>
      <w:r>
        <w:rPr>
          <w:rFonts w:asciiTheme="minorHAnsi" w:hAnsiTheme="minorHAnsi"/>
        </w:rPr>
        <w:t>Muskelfas</w:t>
      </w:r>
      <w:proofErr w:type="spellEnd"/>
      <w:r>
        <w:rPr>
          <w:rFonts w:asciiTheme="minorHAnsi" w:hAnsiTheme="minorHAnsi"/>
        </w:rPr>
        <w:t>…“ anstelle von „Muskelfaserbündel“ oder auch „</w:t>
      </w:r>
      <w:proofErr w:type="spellStart"/>
      <w:r>
        <w:rPr>
          <w:rFonts w:asciiTheme="minorHAnsi" w:hAnsiTheme="minorHAnsi"/>
        </w:rPr>
        <w:t>Kohlensto</w:t>
      </w:r>
      <w:proofErr w:type="spellEnd"/>
      <w:r>
        <w:rPr>
          <w:rFonts w:asciiTheme="minorHAnsi" w:hAnsiTheme="minorHAnsi"/>
        </w:rPr>
        <w:t>…“ anstelle von „Kohlenstoffdioxid“ zustande kämen. Da solche Formen sich nicht ohne Weiteres korrekt ergänzen lassen, ist es sinnvoller, lediglich die hintere Hälfte des letzten Wortes innerhalb der Zusammensetzung zu tilgen. Auf diese Weise entstehen Wortformen wie „</w:t>
      </w:r>
      <w:proofErr w:type="spellStart"/>
      <w:r>
        <w:rPr>
          <w:rFonts w:asciiTheme="minorHAnsi" w:hAnsiTheme="minorHAnsi"/>
        </w:rPr>
        <w:t>Muskelfaserbün</w:t>
      </w:r>
      <w:proofErr w:type="spellEnd"/>
      <w:r>
        <w:rPr>
          <w:rFonts w:asciiTheme="minorHAnsi" w:hAnsiTheme="minorHAnsi"/>
        </w:rPr>
        <w:t>…“ oder auch „</w:t>
      </w:r>
      <w:proofErr w:type="spellStart"/>
      <w:r>
        <w:rPr>
          <w:rFonts w:asciiTheme="minorHAnsi" w:hAnsiTheme="minorHAnsi"/>
        </w:rPr>
        <w:t>Kohlenstoffd</w:t>
      </w:r>
      <w:proofErr w:type="spellEnd"/>
      <w:r>
        <w:rPr>
          <w:rFonts w:asciiTheme="minorHAnsi" w:hAnsiTheme="minorHAnsi"/>
        </w:rPr>
        <w:t>…“, die sich korrekt vervollständigen lassen. Dar</w:t>
      </w:r>
      <w:r>
        <w:rPr>
          <w:rFonts w:asciiTheme="minorHAnsi" w:hAnsiTheme="minorHAnsi"/>
        </w:rPr>
        <w:softHyphen/>
        <w:t>über hinaus kann es nützlich sein, an vereinzelten Stellen den Worttilgungsrhythmus anzupassen, wenn der entstehende Text dadurch schwieriger oder einfacher wird. Hierzu kann etwa im Ein</w:t>
      </w:r>
      <w:r>
        <w:rPr>
          <w:rFonts w:asciiTheme="minorHAnsi" w:hAnsiTheme="minorHAnsi"/>
        </w:rPr>
        <w:softHyphen/>
        <w:t xml:space="preserve">zelfall ein Bestandteil des vierten anstelle des dritten Wortes getilgt werden. </w:t>
      </w:r>
    </w:p>
    <w:p w14:paraId="0C5DFF33" w14:textId="77777777" w:rsidR="005B0B56" w:rsidRPr="004466AE" w:rsidRDefault="005B0B56" w:rsidP="005B0B56">
      <w:pPr>
        <w:rPr>
          <w:rFonts w:asciiTheme="minorHAnsi" w:hAnsiTheme="minorHAnsi"/>
        </w:rPr>
      </w:pPr>
    </w:p>
    <w:p w14:paraId="0D13EC05" w14:textId="77777777" w:rsidR="005B0B56" w:rsidRPr="004466AE" w:rsidRDefault="005B0B56" w:rsidP="005B0B56">
      <w:pPr>
        <w:rPr>
          <w:rFonts w:asciiTheme="minorHAnsi" w:hAnsiTheme="minorHAnsi"/>
        </w:rPr>
      </w:pPr>
    </w:p>
    <w:p w14:paraId="64C986C3" w14:textId="77777777" w:rsidR="00F61B84" w:rsidRPr="00D35885" w:rsidRDefault="00F61B84" w:rsidP="00CB00DD">
      <w:pPr>
        <w:spacing w:after="120" w:line="300" w:lineRule="exact"/>
        <w:rPr>
          <w:rFonts w:asciiTheme="minorHAnsi" w:hAnsiTheme="minorHAnsi" w:cs="Open Sans"/>
        </w:rPr>
      </w:pPr>
    </w:p>
    <w:p w14:paraId="64C986C5" w14:textId="77777777" w:rsidR="00CB00DD" w:rsidRPr="00D35885" w:rsidRDefault="00CB00DD" w:rsidP="00CB00DD">
      <w:pPr>
        <w:spacing w:after="120" w:line="300" w:lineRule="exact"/>
        <w:rPr>
          <w:rFonts w:asciiTheme="minorHAnsi" w:hAnsiTheme="minorHAnsi" w:cs="Open Sans"/>
        </w:rPr>
      </w:pPr>
    </w:p>
    <w:sectPr w:rsidR="00CB00DD" w:rsidRPr="00D35885" w:rsidSect="00CB00DD">
      <w:headerReference w:type="even" r:id="rId6"/>
      <w:headerReference w:type="default" r:id="rId7"/>
      <w:footerReference w:type="even" r:id="rId8"/>
      <w:footerReference w:type="default" r:id="rId9"/>
      <w:headerReference w:type="first" r:id="rId10"/>
      <w:footerReference w:type="first" r:id="rId11"/>
      <w:pgSz w:w="11906" w:h="16838"/>
      <w:pgMar w:top="1985" w:right="1276" w:bottom="1276"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5228" w14:textId="77777777" w:rsidR="00D759D8" w:rsidRDefault="00D759D8" w:rsidP="00CB00DD">
      <w:r>
        <w:separator/>
      </w:r>
    </w:p>
  </w:endnote>
  <w:endnote w:type="continuationSeparator" w:id="0">
    <w:p w14:paraId="62A3E2E5" w14:textId="77777777" w:rsidR="00D759D8" w:rsidRDefault="00D759D8" w:rsidP="00CB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fa Rotis Sans Serif Ligh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Sans Serif Std Light">
    <w:panose1 w:val="00000000000000000000"/>
    <w:charset w:val="00"/>
    <w:family w:val="swiss"/>
    <w:notTrueType/>
    <w:pitch w:val="variable"/>
    <w:sig w:usb0="00000003" w:usb1="00000001" w:usb2="00000000" w:usb3="00000000" w:csb0="00000001"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41E6" w14:textId="77777777" w:rsidR="005B0B56" w:rsidRDefault="005B0B5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3"/>
      <w:gridCol w:w="1871"/>
    </w:tblGrid>
    <w:sdt>
      <w:sdtPr>
        <w:rPr>
          <w:rFonts w:asciiTheme="majorHAnsi" w:eastAsiaTheme="majorEastAsia" w:hAnsiTheme="majorHAnsi" w:cstheme="majorBidi"/>
          <w:sz w:val="20"/>
          <w:szCs w:val="20"/>
        </w:rPr>
        <w:id w:val="2072231074"/>
        <w:docPartObj>
          <w:docPartGallery w:val="Page Numbers (Bottom of Page)"/>
          <w:docPartUnique/>
        </w:docPartObj>
      </w:sdtPr>
      <w:sdtEndPr>
        <w:rPr>
          <w:rFonts w:ascii="Open Sans" w:eastAsiaTheme="minorHAnsi" w:hAnsi="Open Sans" w:cs="Open Sans"/>
          <w:sz w:val="22"/>
          <w:szCs w:val="24"/>
        </w:rPr>
      </w:sdtEndPr>
      <w:sdtContent>
        <w:tr w:rsidR="00CB00DD" w14:paraId="64C986D1" w14:textId="77777777" w:rsidTr="00CB00DD">
          <w:trPr>
            <w:trHeight w:val="727"/>
          </w:trPr>
          <w:tc>
            <w:tcPr>
              <w:tcW w:w="4000" w:type="pct"/>
              <w:tcBorders>
                <w:right w:val="double" w:sz="4" w:space="0" w:color="auto"/>
              </w:tcBorders>
            </w:tcPr>
            <w:p w14:paraId="64C986CF" w14:textId="77777777" w:rsidR="00CB00DD" w:rsidRDefault="00CB00DD">
              <w:pPr>
                <w:tabs>
                  <w:tab w:val="left" w:pos="620"/>
                  <w:tab w:val="center" w:pos="4320"/>
                </w:tabs>
                <w:jc w:val="right"/>
                <w:rPr>
                  <w:rFonts w:asciiTheme="majorHAnsi" w:eastAsiaTheme="majorEastAsia" w:hAnsiTheme="majorHAnsi" w:cstheme="majorBidi"/>
                  <w:sz w:val="20"/>
                  <w:szCs w:val="20"/>
                </w:rPr>
              </w:pPr>
            </w:p>
          </w:tc>
          <w:tc>
            <w:tcPr>
              <w:tcW w:w="1000" w:type="pct"/>
              <w:tcBorders>
                <w:left w:val="double" w:sz="4" w:space="0" w:color="auto"/>
              </w:tcBorders>
            </w:tcPr>
            <w:p w14:paraId="64C986D0" w14:textId="35FB3FFB" w:rsidR="00CB00DD" w:rsidRPr="00CB00DD" w:rsidRDefault="00CB00DD">
              <w:pPr>
                <w:tabs>
                  <w:tab w:val="left" w:pos="1490"/>
                </w:tabs>
                <w:rPr>
                  <w:rFonts w:ascii="Open Sans" w:eastAsiaTheme="majorEastAsia" w:hAnsi="Open Sans" w:cs="Open Sans"/>
                  <w:sz w:val="22"/>
                  <w:szCs w:val="28"/>
                </w:rPr>
              </w:pPr>
              <w:r w:rsidRPr="00CB00DD">
                <w:rPr>
                  <w:rFonts w:ascii="Open Sans" w:hAnsi="Open Sans" w:cs="Open Sans"/>
                  <w:sz w:val="22"/>
                </w:rPr>
                <w:fldChar w:fldCharType="begin"/>
              </w:r>
              <w:r w:rsidRPr="00CB00DD">
                <w:rPr>
                  <w:rFonts w:ascii="Open Sans" w:hAnsi="Open Sans" w:cs="Open Sans"/>
                  <w:sz w:val="22"/>
                </w:rPr>
                <w:instrText>PAGE    \* MERGEFORMAT</w:instrText>
              </w:r>
              <w:r w:rsidRPr="00CB00DD">
                <w:rPr>
                  <w:rFonts w:ascii="Open Sans" w:hAnsi="Open Sans" w:cs="Open Sans"/>
                  <w:sz w:val="22"/>
                </w:rPr>
                <w:fldChar w:fldCharType="separate"/>
              </w:r>
              <w:r w:rsidR="00DB7ED6">
                <w:rPr>
                  <w:rFonts w:ascii="Open Sans" w:hAnsi="Open Sans" w:cs="Open Sans"/>
                  <w:noProof/>
                  <w:sz w:val="22"/>
                </w:rPr>
                <w:t>1</w:t>
              </w:r>
              <w:r w:rsidRPr="00CB00DD">
                <w:rPr>
                  <w:rFonts w:ascii="Open Sans" w:hAnsi="Open Sans" w:cs="Open Sans"/>
                  <w:sz w:val="22"/>
                </w:rPr>
                <w:fldChar w:fldCharType="end"/>
              </w:r>
            </w:p>
          </w:tc>
        </w:tr>
      </w:sdtContent>
    </w:sdt>
  </w:tbl>
  <w:p w14:paraId="64C986D2" w14:textId="77777777" w:rsidR="00CB00DD" w:rsidRDefault="00CB00D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89D0" w14:textId="77777777" w:rsidR="005B0B56" w:rsidRDefault="005B0B5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0CB5" w14:textId="77777777" w:rsidR="00D759D8" w:rsidRDefault="00D759D8" w:rsidP="00CB00DD">
      <w:r>
        <w:separator/>
      </w:r>
    </w:p>
  </w:footnote>
  <w:footnote w:type="continuationSeparator" w:id="0">
    <w:p w14:paraId="10F3D87A" w14:textId="77777777" w:rsidR="00D759D8" w:rsidRDefault="00D759D8" w:rsidP="00CB00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9E8F" w14:textId="77777777" w:rsidR="005B0B56" w:rsidRDefault="005B0B56">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86CB" w14:textId="7ED9676C" w:rsidR="00CB00DD" w:rsidRPr="00D35885" w:rsidRDefault="00CB00DD">
    <w:pPr>
      <w:pStyle w:val="Kopfzeile"/>
      <w:rPr>
        <w:rFonts w:asciiTheme="minorHAnsi" w:hAnsiTheme="minorHAnsi" w:cs="Open Sans"/>
        <w:sz w:val="22"/>
        <w:szCs w:val="22"/>
      </w:rPr>
    </w:pPr>
    <w:r w:rsidRPr="00D35885">
      <w:rPr>
        <w:rFonts w:asciiTheme="minorHAnsi" w:hAnsiTheme="minorHAnsi" w:cs="Open Sans"/>
        <w:sz w:val="22"/>
        <w:szCs w:val="22"/>
      </w:rPr>
      <w:t>Handreichung „</w:t>
    </w:r>
    <w:r w:rsidR="000810A8">
      <w:rPr>
        <w:rFonts w:asciiTheme="minorHAnsi" w:hAnsiTheme="minorHAnsi" w:cs="Open Sans"/>
        <w:sz w:val="22"/>
        <w:szCs w:val="22"/>
      </w:rPr>
      <w:t>Sprachbildung im Fach</w:t>
    </w:r>
    <w:r w:rsidRPr="00D35885">
      <w:rPr>
        <w:rFonts w:asciiTheme="minorHAnsi" w:hAnsiTheme="minorHAnsi" w:cs="Open Sans"/>
        <w:sz w:val="22"/>
        <w:szCs w:val="22"/>
      </w:rPr>
      <w:t>“</w:t>
    </w:r>
  </w:p>
  <w:p w14:paraId="64C986CC" w14:textId="2AEBF710" w:rsidR="00CB00DD" w:rsidRPr="00D35885" w:rsidRDefault="00CB00DD">
    <w:pPr>
      <w:pStyle w:val="Kopfzeile"/>
      <w:rPr>
        <w:rFonts w:asciiTheme="minorHAnsi" w:hAnsiTheme="minorHAnsi" w:cs="Open Sans"/>
        <w:sz w:val="22"/>
        <w:szCs w:val="22"/>
      </w:rPr>
    </w:pPr>
    <w:r w:rsidRPr="00D35885">
      <w:rPr>
        <w:rFonts w:asciiTheme="minorHAnsi" w:hAnsiTheme="minorHAnsi" w:cs="Open Sans"/>
        <w:sz w:val="22"/>
        <w:szCs w:val="22"/>
      </w:rPr>
      <w:t xml:space="preserve">Material zu Fortbildungsbaustein </w:t>
    </w:r>
    <w:r w:rsidR="005B0B56" w:rsidRPr="005B0B56">
      <w:rPr>
        <w:rFonts w:asciiTheme="minorHAnsi" w:hAnsiTheme="minorHAnsi" w:cs="Open Sans"/>
        <w:sz w:val="22"/>
        <w:szCs w:val="22"/>
      </w:rPr>
      <w:t>3</w:t>
    </w:r>
    <w:r w:rsidRPr="00D35885">
      <w:rPr>
        <w:rFonts w:asciiTheme="minorHAnsi" w:hAnsiTheme="minorHAnsi" w:cs="Open Sans"/>
        <w:sz w:val="22"/>
        <w:szCs w:val="22"/>
      </w:rPr>
      <w:t>:</w:t>
    </w:r>
  </w:p>
  <w:p w14:paraId="64C986CD" w14:textId="68992072" w:rsidR="00CB00DD" w:rsidRPr="00D35885" w:rsidRDefault="00CB00DD">
    <w:pPr>
      <w:pStyle w:val="Kopfzeile"/>
      <w:rPr>
        <w:rFonts w:asciiTheme="minorHAnsi" w:hAnsiTheme="minorHAnsi" w:cs="Open Sans"/>
        <w:sz w:val="22"/>
        <w:szCs w:val="22"/>
      </w:rPr>
    </w:pPr>
    <w:r w:rsidRPr="00D35885">
      <w:rPr>
        <w:rFonts w:asciiTheme="minorHAnsi" w:hAnsiTheme="minorHAnsi" w:cs="Open Sans"/>
        <w:sz w:val="22"/>
        <w:szCs w:val="22"/>
      </w:rPr>
      <w:t>„</w:t>
    </w:r>
    <w:r w:rsidRPr="00D35885">
      <w:rPr>
        <w:rFonts w:asciiTheme="minorHAnsi" w:hAnsiTheme="minorHAnsi" w:cs="Open Sans"/>
        <w:noProof/>
        <w:sz w:val="22"/>
        <w:szCs w:val="22"/>
        <w:lang w:eastAsia="de-DE"/>
      </w:rPr>
      <w:drawing>
        <wp:anchor distT="0" distB="0" distL="114300" distR="114300" simplePos="0" relativeHeight="251659264" behindDoc="1" locked="0" layoutInCell="1" allowOverlap="1" wp14:anchorId="64C986D5" wp14:editId="64C986D6">
          <wp:simplePos x="0" y="0"/>
          <wp:positionH relativeFrom="rightMargin">
            <wp:posOffset>-1742440</wp:posOffset>
          </wp:positionH>
          <wp:positionV relativeFrom="topMargin">
            <wp:posOffset>360045</wp:posOffset>
          </wp:positionV>
          <wp:extent cx="1724400" cy="788400"/>
          <wp:effectExtent l="0" t="0" r="0" b="0"/>
          <wp:wrapNone/>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w:r>
    <w:r w:rsidR="005B0B56">
      <w:rPr>
        <w:rFonts w:asciiTheme="minorHAnsi" w:hAnsiTheme="minorHAnsi" w:cs="Open Sans"/>
        <w:sz w:val="22"/>
        <w:szCs w:val="22"/>
      </w:rPr>
      <w:t xml:space="preserve">Verfahren der </w:t>
    </w:r>
    <w:proofErr w:type="spellStart"/>
    <w:r w:rsidR="005B0B56">
      <w:rPr>
        <w:rFonts w:asciiTheme="minorHAnsi" w:hAnsiTheme="minorHAnsi" w:cs="Open Sans"/>
        <w:sz w:val="22"/>
        <w:szCs w:val="22"/>
      </w:rPr>
      <w:t>Sprachstandserhebung</w:t>
    </w:r>
    <w:proofErr w:type="spellEnd"/>
    <w:r w:rsidRPr="00D35885">
      <w:rPr>
        <w:rFonts w:asciiTheme="minorHAnsi" w:hAnsiTheme="minorHAnsi" w:cs="Open Sans"/>
        <w:sz w:val="22"/>
        <w:szCs w:val="2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34A3" w14:textId="77777777" w:rsidR="005B0B56" w:rsidRDefault="005B0B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DD"/>
    <w:rsid w:val="000810A8"/>
    <w:rsid w:val="00321955"/>
    <w:rsid w:val="005B0B56"/>
    <w:rsid w:val="00876714"/>
    <w:rsid w:val="00CB00DD"/>
    <w:rsid w:val="00D35885"/>
    <w:rsid w:val="00D759D8"/>
    <w:rsid w:val="00DB7ED6"/>
    <w:rsid w:val="00F21AC1"/>
    <w:rsid w:val="00F61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6C3"/>
  <w15:chartTrackingRefBased/>
  <w15:docId w15:val="{8FE73A5C-A7B2-4613-9961-E38E4D26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fa Rotis Sans Serif Light" w:eastAsiaTheme="minorHAnsi" w:hAnsi="Agfa Rotis Sans Serif Light"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0B56"/>
    <w:rPr>
      <w:rFonts w:ascii="Rotis Sans Serif Std Light" w:hAnsi="Rotis Sans Serif Std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0DD"/>
    <w:pPr>
      <w:tabs>
        <w:tab w:val="center" w:pos="4536"/>
        <w:tab w:val="right" w:pos="9072"/>
      </w:tabs>
    </w:pPr>
  </w:style>
  <w:style w:type="character" w:customStyle="1" w:styleId="KopfzeileZchn">
    <w:name w:val="Kopfzeile Zchn"/>
    <w:basedOn w:val="Absatz-Standardschriftart"/>
    <w:link w:val="Kopfzeile"/>
    <w:uiPriority w:val="99"/>
    <w:rsid w:val="00CB00DD"/>
    <w:rPr>
      <w:rFonts w:ascii="Rotis Sans Serif Std Light" w:hAnsi="Rotis Sans Serif Std Light"/>
    </w:rPr>
  </w:style>
  <w:style w:type="paragraph" w:styleId="Fuzeile">
    <w:name w:val="footer"/>
    <w:basedOn w:val="Standard"/>
    <w:link w:val="FuzeileZchn"/>
    <w:uiPriority w:val="99"/>
    <w:unhideWhenUsed/>
    <w:rsid w:val="00CB00DD"/>
    <w:pPr>
      <w:tabs>
        <w:tab w:val="center" w:pos="4536"/>
        <w:tab w:val="right" w:pos="9072"/>
      </w:tabs>
    </w:pPr>
  </w:style>
  <w:style w:type="character" w:customStyle="1" w:styleId="FuzeileZchn">
    <w:name w:val="Fußzeile Zchn"/>
    <w:basedOn w:val="Absatz-Standardschriftart"/>
    <w:link w:val="Fuzeile"/>
    <w:uiPriority w:val="99"/>
    <w:rsid w:val="00CB00DD"/>
    <w:rPr>
      <w:rFonts w:ascii="Rotis Sans Serif Std Light" w:hAnsi="Rotis Sans Serif Std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Jäger</dc:creator>
  <cp:keywords/>
  <dc:description/>
  <cp:lastModifiedBy>Heidi Seifert</cp:lastModifiedBy>
  <cp:revision>2</cp:revision>
  <dcterms:created xsi:type="dcterms:W3CDTF">2020-08-25T08:56:00Z</dcterms:created>
  <dcterms:modified xsi:type="dcterms:W3CDTF">2020-08-25T08:56:00Z</dcterms:modified>
</cp:coreProperties>
</file>