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19ED9" w14:textId="77777777" w:rsidR="00EA576A" w:rsidRDefault="00EA576A" w:rsidP="00EA576A">
      <w:pPr>
        <w:jc w:val="both"/>
        <w:rPr>
          <w:b/>
        </w:rPr>
      </w:pPr>
      <w:bookmarkStart w:id="0" w:name="_GoBack"/>
      <w:bookmarkEnd w:id="0"/>
      <w:r w:rsidRPr="00816CBA">
        <w:rPr>
          <w:b/>
        </w:rPr>
        <w:t xml:space="preserve">Lösungsvorschlag </w:t>
      </w:r>
    </w:p>
    <w:p w14:paraId="12B79971" w14:textId="77777777" w:rsidR="00EA576A" w:rsidRPr="000E4372" w:rsidRDefault="00EA576A" w:rsidP="00EA576A">
      <w:pPr>
        <w:jc w:val="both"/>
      </w:pPr>
      <w:r w:rsidRPr="000E4372">
        <w:t xml:space="preserve">Zu den Aufgaben 1 und 2: </w:t>
      </w:r>
    </w:p>
    <w:tbl>
      <w:tblPr>
        <w:tblStyle w:val="Tabellenraster"/>
        <w:tblW w:w="0" w:type="auto"/>
        <w:tblLayout w:type="fixed"/>
        <w:tblLook w:val="04A0" w:firstRow="1" w:lastRow="0" w:firstColumn="1" w:lastColumn="0" w:noHBand="0" w:noVBand="1"/>
      </w:tblPr>
      <w:tblGrid>
        <w:gridCol w:w="2972"/>
        <w:gridCol w:w="6372"/>
      </w:tblGrid>
      <w:tr w:rsidR="00EA576A" w14:paraId="002DADF8" w14:textId="77777777" w:rsidTr="00EA576A">
        <w:tc>
          <w:tcPr>
            <w:tcW w:w="2972" w:type="dxa"/>
            <w:shd w:val="clear" w:color="auto" w:fill="D0CECE" w:themeFill="background2" w:themeFillShade="E6"/>
          </w:tcPr>
          <w:p w14:paraId="288636C7" w14:textId="77777777" w:rsidR="00EA576A" w:rsidRPr="00CB7C39" w:rsidRDefault="00EA576A" w:rsidP="00EA576A">
            <w:pPr>
              <w:spacing w:before="120" w:after="120" w:line="240" w:lineRule="auto"/>
              <w:jc w:val="both"/>
              <w:rPr>
                <w:b/>
              </w:rPr>
            </w:pPr>
            <w:r w:rsidRPr="00CB7C39">
              <w:rPr>
                <w:b/>
              </w:rPr>
              <w:t>1. Wortebene</w:t>
            </w:r>
          </w:p>
        </w:tc>
        <w:tc>
          <w:tcPr>
            <w:tcW w:w="6372" w:type="dxa"/>
            <w:shd w:val="clear" w:color="auto" w:fill="D0CECE" w:themeFill="background2" w:themeFillShade="E6"/>
          </w:tcPr>
          <w:p w14:paraId="3FF04902" w14:textId="77777777" w:rsidR="00EA576A" w:rsidRPr="00BB011C" w:rsidRDefault="00EA576A" w:rsidP="00EA576A">
            <w:pPr>
              <w:spacing w:before="120" w:after="120" w:line="240" w:lineRule="auto"/>
              <w:jc w:val="both"/>
              <w:rPr>
                <w:b/>
              </w:rPr>
            </w:pPr>
            <w:r w:rsidRPr="00BB011C">
              <w:rPr>
                <w:b/>
              </w:rPr>
              <w:t xml:space="preserve">Sprachliche Auffälligkeiten </w:t>
            </w:r>
          </w:p>
        </w:tc>
      </w:tr>
      <w:tr w:rsidR="00EA576A" w14:paraId="4E8A69ED" w14:textId="77777777" w:rsidTr="00EA576A">
        <w:tc>
          <w:tcPr>
            <w:tcW w:w="2972" w:type="dxa"/>
          </w:tcPr>
          <w:p w14:paraId="7377A735" w14:textId="77777777" w:rsidR="00EA576A" w:rsidRDefault="00EA576A" w:rsidP="00EA576A">
            <w:pPr>
              <w:spacing w:after="0" w:line="240" w:lineRule="auto"/>
            </w:pPr>
            <w:r w:rsidRPr="00454380">
              <w:rPr>
                <w:i/>
              </w:rPr>
              <w:t>jewals</w:t>
            </w:r>
            <w:r>
              <w:t xml:space="preserve"> (Beispiel c)</w:t>
            </w:r>
          </w:p>
          <w:p w14:paraId="50568B39" w14:textId="77777777" w:rsidR="00EA576A" w:rsidRDefault="00EA576A" w:rsidP="00EA576A">
            <w:pPr>
              <w:spacing w:after="0" w:line="240" w:lineRule="auto"/>
            </w:pPr>
          </w:p>
        </w:tc>
        <w:tc>
          <w:tcPr>
            <w:tcW w:w="6372" w:type="dxa"/>
          </w:tcPr>
          <w:p w14:paraId="2327F262" w14:textId="77777777" w:rsidR="00EA576A" w:rsidRDefault="00EA576A" w:rsidP="00EA576A">
            <w:pPr>
              <w:spacing w:after="0" w:line="240" w:lineRule="auto"/>
            </w:pPr>
            <w:r>
              <w:t xml:space="preserve">Fehlerhafte Schreibung des Doppellautes (Diphthongs) </w:t>
            </w:r>
            <w:r w:rsidRPr="005E4EBB">
              <w:rPr>
                <w:i/>
              </w:rPr>
              <w:t>ei</w:t>
            </w:r>
            <w:r>
              <w:t xml:space="preserve">. Vermutlich schreibt der Schüler das Wort so, wie er es hört. </w:t>
            </w:r>
          </w:p>
        </w:tc>
      </w:tr>
      <w:tr w:rsidR="00EA576A" w14:paraId="68A42D16" w14:textId="77777777" w:rsidTr="00EA576A">
        <w:tc>
          <w:tcPr>
            <w:tcW w:w="2972" w:type="dxa"/>
          </w:tcPr>
          <w:p w14:paraId="2F0E7826" w14:textId="77777777" w:rsidR="00EA576A" w:rsidRDefault="00EA576A" w:rsidP="00EA576A">
            <w:pPr>
              <w:spacing w:after="0" w:line="240" w:lineRule="auto"/>
            </w:pPr>
            <w:r w:rsidRPr="00454380">
              <w:rPr>
                <w:i/>
              </w:rPr>
              <w:t>wen</w:t>
            </w:r>
            <w:r>
              <w:t xml:space="preserve"> (c)</w:t>
            </w:r>
          </w:p>
          <w:p w14:paraId="5924157B" w14:textId="77777777" w:rsidR="00EA576A" w:rsidRDefault="00EA576A" w:rsidP="00EA576A">
            <w:pPr>
              <w:spacing w:after="0" w:line="240" w:lineRule="auto"/>
            </w:pPr>
          </w:p>
        </w:tc>
        <w:tc>
          <w:tcPr>
            <w:tcW w:w="6372" w:type="dxa"/>
          </w:tcPr>
          <w:p w14:paraId="5858FB0E" w14:textId="77777777" w:rsidR="00EA576A" w:rsidRDefault="00EA576A" w:rsidP="00EA576A">
            <w:pPr>
              <w:spacing w:after="0" w:line="240" w:lineRule="auto"/>
            </w:pPr>
            <w:r>
              <w:t xml:space="preserve">Der Schüler wendet die folgende Rechtschreibregel nicht an: In der deutschen Orthographie werden kurze Vokale häufig durch Konsonantenverdopplung gekennzeichnet. </w:t>
            </w:r>
          </w:p>
        </w:tc>
      </w:tr>
      <w:tr w:rsidR="00EA576A" w14:paraId="02612E43" w14:textId="77777777" w:rsidTr="00EA576A">
        <w:tc>
          <w:tcPr>
            <w:tcW w:w="2972" w:type="dxa"/>
          </w:tcPr>
          <w:p w14:paraId="7D629F7F" w14:textId="77777777" w:rsidR="00EA576A" w:rsidRDefault="00EA576A" w:rsidP="00EA576A">
            <w:pPr>
              <w:spacing w:after="0" w:line="240" w:lineRule="auto"/>
            </w:pPr>
            <w:r w:rsidRPr="00454380">
              <w:rPr>
                <w:i/>
              </w:rPr>
              <w:t>Bz.</w:t>
            </w:r>
            <w:r>
              <w:t xml:space="preserve"> (c)</w:t>
            </w:r>
          </w:p>
          <w:p w14:paraId="4B8DCAAA" w14:textId="77777777" w:rsidR="00EA576A" w:rsidRDefault="00EA576A" w:rsidP="00EA576A">
            <w:pPr>
              <w:spacing w:after="0" w:line="240" w:lineRule="auto"/>
            </w:pPr>
          </w:p>
        </w:tc>
        <w:tc>
          <w:tcPr>
            <w:tcW w:w="6372" w:type="dxa"/>
          </w:tcPr>
          <w:p w14:paraId="19A4BB98" w14:textId="77777777" w:rsidR="00EA576A" w:rsidRDefault="00EA576A" w:rsidP="00EA576A">
            <w:pPr>
              <w:spacing w:after="0" w:line="240" w:lineRule="auto"/>
            </w:pPr>
            <w:r>
              <w:t xml:space="preserve">Die Buchstaben wurden vertauscht. </w:t>
            </w:r>
          </w:p>
          <w:p w14:paraId="5FBD75E8" w14:textId="77777777" w:rsidR="00EA576A" w:rsidRDefault="00EA576A" w:rsidP="00EA576A">
            <w:pPr>
              <w:spacing w:after="0" w:line="240" w:lineRule="auto"/>
            </w:pPr>
          </w:p>
        </w:tc>
      </w:tr>
      <w:tr w:rsidR="00EA576A" w14:paraId="3EE098D7" w14:textId="77777777" w:rsidTr="00EA576A">
        <w:tc>
          <w:tcPr>
            <w:tcW w:w="2972" w:type="dxa"/>
          </w:tcPr>
          <w:p w14:paraId="65385FCF" w14:textId="77777777" w:rsidR="00EA576A" w:rsidRDefault="00EA576A" w:rsidP="00EA576A">
            <w:pPr>
              <w:spacing w:after="0" w:line="240" w:lineRule="auto"/>
            </w:pPr>
            <w:r w:rsidRPr="00413353">
              <w:t>… [wenn]</w:t>
            </w:r>
            <w:r>
              <w:t xml:space="preserve"> </w:t>
            </w:r>
            <w:r w:rsidRPr="00413353">
              <w:t xml:space="preserve">… Lampe 1 </w:t>
            </w:r>
            <w:r w:rsidRPr="00454380">
              <w:rPr>
                <w:i/>
              </w:rPr>
              <w:t>Grün</w:t>
            </w:r>
            <w:r>
              <w:t xml:space="preserve"> ist, … (c)</w:t>
            </w:r>
          </w:p>
          <w:p w14:paraId="3EC06D21" w14:textId="77777777" w:rsidR="00EA576A" w:rsidRDefault="00EA576A" w:rsidP="00EA576A">
            <w:pPr>
              <w:spacing w:after="0" w:line="240" w:lineRule="auto"/>
            </w:pPr>
          </w:p>
        </w:tc>
        <w:tc>
          <w:tcPr>
            <w:tcW w:w="6372" w:type="dxa"/>
          </w:tcPr>
          <w:p w14:paraId="77276F2A" w14:textId="77777777" w:rsidR="00EA576A" w:rsidRDefault="00EA576A" w:rsidP="00EA576A">
            <w:pPr>
              <w:spacing w:after="0" w:line="240" w:lineRule="auto"/>
            </w:pPr>
            <w:r>
              <w:t xml:space="preserve">Bei </w:t>
            </w:r>
            <w:r w:rsidRPr="007542B4">
              <w:rPr>
                <w:i/>
              </w:rPr>
              <w:t>grün</w:t>
            </w:r>
            <w:r>
              <w:t xml:space="preserve"> handelt es sich um ein Adjektiv in prädikativer Verwendung, das kleingeschrieben werden muss. </w:t>
            </w:r>
          </w:p>
        </w:tc>
      </w:tr>
      <w:tr w:rsidR="00EA576A" w14:paraId="7E180E5B" w14:textId="77777777" w:rsidTr="00EA576A">
        <w:tc>
          <w:tcPr>
            <w:tcW w:w="2972" w:type="dxa"/>
          </w:tcPr>
          <w:p w14:paraId="4954503D" w14:textId="77777777" w:rsidR="00EA576A" w:rsidRDefault="00EA576A" w:rsidP="00EA576A">
            <w:pPr>
              <w:spacing w:after="0" w:line="240" w:lineRule="auto"/>
            </w:pPr>
            <w:r w:rsidRPr="00454380">
              <w:rPr>
                <w:i/>
              </w:rPr>
              <w:t>entfährnt</w:t>
            </w:r>
            <w:r>
              <w:t xml:space="preserve"> (d) </w:t>
            </w:r>
          </w:p>
          <w:p w14:paraId="42970FB9" w14:textId="77777777" w:rsidR="00EA576A" w:rsidRDefault="00EA576A" w:rsidP="00EA576A">
            <w:pPr>
              <w:spacing w:after="0" w:line="240" w:lineRule="auto"/>
            </w:pPr>
          </w:p>
        </w:tc>
        <w:tc>
          <w:tcPr>
            <w:tcW w:w="6372" w:type="dxa"/>
          </w:tcPr>
          <w:p w14:paraId="384304B3" w14:textId="77777777" w:rsidR="00EA576A" w:rsidRDefault="00EA576A" w:rsidP="00EA576A">
            <w:pPr>
              <w:spacing w:after="0" w:line="240" w:lineRule="auto"/>
            </w:pPr>
            <w:r>
              <w:t xml:space="preserve">Fehlerhafte Schreibung des </w:t>
            </w:r>
            <w:r w:rsidRPr="005E4EBB">
              <w:rPr>
                <w:i/>
              </w:rPr>
              <w:t>e-Lautes</w:t>
            </w:r>
            <w:r>
              <w:t xml:space="preserve"> (mit dem Umlaut </w:t>
            </w:r>
            <w:r w:rsidRPr="005E4EBB">
              <w:rPr>
                <w:i/>
              </w:rPr>
              <w:t>ä</w:t>
            </w:r>
            <w:r>
              <w:t xml:space="preserve">). Zudem wird hier kein </w:t>
            </w:r>
            <w:r w:rsidRPr="005E4EBB">
              <w:rPr>
                <w:i/>
              </w:rPr>
              <w:t>Dehnungs-h</w:t>
            </w:r>
            <w:r>
              <w:t xml:space="preserve"> eingefügt.</w:t>
            </w:r>
          </w:p>
        </w:tc>
      </w:tr>
      <w:tr w:rsidR="00EA576A" w14:paraId="76AECDCC" w14:textId="77777777" w:rsidTr="00EA576A">
        <w:tc>
          <w:tcPr>
            <w:tcW w:w="2972" w:type="dxa"/>
          </w:tcPr>
          <w:p w14:paraId="7BEBB643" w14:textId="77777777" w:rsidR="00EA576A" w:rsidRDefault="00EA576A" w:rsidP="00EA576A">
            <w:pPr>
              <w:spacing w:after="0" w:line="240" w:lineRule="auto"/>
            </w:pPr>
            <w:r w:rsidRPr="00454380">
              <w:rPr>
                <w:i/>
              </w:rPr>
              <w:t>grün</w:t>
            </w:r>
            <w:r>
              <w:t xml:space="preserve"> Richtung (c)</w:t>
            </w:r>
          </w:p>
        </w:tc>
        <w:tc>
          <w:tcPr>
            <w:tcW w:w="6372" w:type="dxa"/>
          </w:tcPr>
          <w:p w14:paraId="1CBC1643" w14:textId="77777777" w:rsidR="00EA576A" w:rsidRDefault="00EA576A" w:rsidP="00EA576A">
            <w:pPr>
              <w:spacing w:after="0" w:line="240" w:lineRule="auto"/>
            </w:pPr>
            <w:r>
              <w:t xml:space="preserve">Das Adjektiv muss flektiert werden. </w:t>
            </w:r>
          </w:p>
        </w:tc>
      </w:tr>
      <w:tr w:rsidR="00EA576A" w14:paraId="5B261F16" w14:textId="77777777" w:rsidTr="00EA576A">
        <w:tc>
          <w:tcPr>
            <w:tcW w:w="2972" w:type="dxa"/>
            <w:shd w:val="clear" w:color="auto" w:fill="D0CECE" w:themeFill="background2" w:themeFillShade="E6"/>
          </w:tcPr>
          <w:p w14:paraId="2B19F390" w14:textId="77777777" w:rsidR="00EA576A" w:rsidRPr="00CB7C39" w:rsidRDefault="00EA576A" w:rsidP="00EA576A">
            <w:pPr>
              <w:spacing w:before="120" w:after="120" w:line="240" w:lineRule="auto"/>
              <w:rPr>
                <w:b/>
              </w:rPr>
            </w:pPr>
            <w:r w:rsidRPr="00CB7C39">
              <w:rPr>
                <w:b/>
              </w:rPr>
              <w:t xml:space="preserve">2. Satzebene </w:t>
            </w:r>
          </w:p>
        </w:tc>
        <w:tc>
          <w:tcPr>
            <w:tcW w:w="6372" w:type="dxa"/>
            <w:shd w:val="clear" w:color="auto" w:fill="D0CECE" w:themeFill="background2" w:themeFillShade="E6"/>
          </w:tcPr>
          <w:p w14:paraId="1DA196E2" w14:textId="77777777" w:rsidR="00EA576A" w:rsidRDefault="00EA576A" w:rsidP="00EA576A">
            <w:pPr>
              <w:spacing w:before="120" w:after="120" w:line="240" w:lineRule="auto"/>
            </w:pPr>
          </w:p>
        </w:tc>
      </w:tr>
      <w:tr w:rsidR="00EA576A" w14:paraId="4BC80377" w14:textId="77777777" w:rsidTr="00EA576A">
        <w:tc>
          <w:tcPr>
            <w:tcW w:w="2972" w:type="dxa"/>
          </w:tcPr>
          <w:p w14:paraId="608377AA" w14:textId="77777777" w:rsidR="00EA576A" w:rsidRDefault="00EA576A" w:rsidP="00EA576A">
            <w:pPr>
              <w:spacing w:after="0" w:line="240" w:lineRule="auto"/>
            </w:pPr>
            <w:r w:rsidRPr="00454380">
              <w:t xml:space="preserve">Die Lichtquellen </w:t>
            </w:r>
            <w:r w:rsidRPr="00454380">
              <w:rPr>
                <w:i/>
              </w:rPr>
              <w:t>sind</w:t>
            </w:r>
            <w:r>
              <w:rPr>
                <w:i/>
              </w:rPr>
              <w:t xml:space="preserve"> </w:t>
            </w:r>
            <w:r w:rsidRPr="00454380">
              <w:t>…</w:t>
            </w:r>
            <w:r>
              <w:t xml:space="preserve"> </w:t>
            </w:r>
            <w:r w:rsidRPr="00454380">
              <w:rPr>
                <w:i/>
              </w:rPr>
              <w:t>in einer Richtung</w:t>
            </w:r>
            <w:r>
              <w:t xml:space="preserve"> (c)</w:t>
            </w:r>
          </w:p>
        </w:tc>
        <w:tc>
          <w:tcPr>
            <w:tcW w:w="6372" w:type="dxa"/>
          </w:tcPr>
          <w:p w14:paraId="2E92AB72" w14:textId="77777777" w:rsidR="00EA576A" w:rsidRDefault="00EA576A" w:rsidP="00EA576A">
            <w:pPr>
              <w:spacing w:after="0" w:line="240" w:lineRule="auto"/>
            </w:pPr>
            <w:r>
              <w:t xml:space="preserve">Der Satz ist unvollständig, da er nur das Hilfsverb </w:t>
            </w:r>
            <w:r w:rsidRPr="005E4EBB">
              <w:rPr>
                <w:i/>
              </w:rPr>
              <w:t>sein</w:t>
            </w:r>
            <w:r>
              <w:t xml:space="preserve"> enthält. Eventuell verwendet der Schüler </w:t>
            </w:r>
            <w:r w:rsidRPr="00E63D7E">
              <w:rPr>
                <w:i/>
              </w:rPr>
              <w:t>sein</w:t>
            </w:r>
            <w:r>
              <w:t xml:space="preserve"> als Stellvertreter-Vollverb, da er kein anderes passendes Verb kennt. </w:t>
            </w:r>
          </w:p>
        </w:tc>
      </w:tr>
      <w:tr w:rsidR="00EA576A" w14:paraId="67B140A7" w14:textId="77777777" w:rsidTr="00EA576A">
        <w:tc>
          <w:tcPr>
            <w:tcW w:w="2972" w:type="dxa"/>
          </w:tcPr>
          <w:p w14:paraId="5339B7E8" w14:textId="77777777" w:rsidR="00EA576A" w:rsidRDefault="00EA576A" w:rsidP="00EA576A">
            <w:pPr>
              <w:spacing w:after="0" w:line="240" w:lineRule="auto"/>
            </w:pPr>
            <w:r w:rsidRPr="00454380">
              <w:t xml:space="preserve">…, </w:t>
            </w:r>
            <w:r w:rsidRPr="00454380">
              <w:rPr>
                <w:i/>
              </w:rPr>
              <w:t>das</w:t>
            </w:r>
            <w:r>
              <w:t xml:space="preserve"> </w:t>
            </w:r>
            <w:r w:rsidRPr="00454380">
              <w:t>das</w:t>
            </w:r>
            <w:r>
              <w:t xml:space="preserve"> Licht sich grün Richtung reflektiert. (c) </w:t>
            </w:r>
          </w:p>
          <w:p w14:paraId="68512AA7" w14:textId="77777777" w:rsidR="00EA576A" w:rsidRDefault="00EA576A" w:rsidP="00EA576A">
            <w:pPr>
              <w:spacing w:after="0" w:line="240" w:lineRule="auto"/>
            </w:pPr>
          </w:p>
        </w:tc>
        <w:tc>
          <w:tcPr>
            <w:tcW w:w="6372" w:type="dxa"/>
          </w:tcPr>
          <w:p w14:paraId="0CDE2DAD" w14:textId="77777777" w:rsidR="00EA576A" w:rsidRDefault="00EA576A" w:rsidP="00EA576A">
            <w:pPr>
              <w:spacing w:after="0" w:line="240" w:lineRule="auto"/>
            </w:pPr>
            <w:r>
              <w:t xml:space="preserve">1. Grammatik: In diesem Nebensatz stimmt der Satzbauplan nicht; der Anschluss mit der Konjunktion </w:t>
            </w:r>
            <w:r w:rsidRPr="00AF1602">
              <w:rPr>
                <w:i/>
              </w:rPr>
              <w:t>dass</w:t>
            </w:r>
            <w:r>
              <w:t xml:space="preserve"> ist nicht passend. Dieser Fehler könnte auf die freie Satzgliedstellung im Polnischen zurückzuführen sein. </w:t>
            </w:r>
          </w:p>
          <w:p w14:paraId="428AF3A1" w14:textId="77777777" w:rsidR="00EA576A" w:rsidRDefault="00EA576A" w:rsidP="00EA576A">
            <w:pPr>
              <w:spacing w:after="0" w:line="240" w:lineRule="auto"/>
            </w:pPr>
            <w:r>
              <w:t xml:space="preserve">2. Rechtschreibung: Für den stimmlosen </w:t>
            </w:r>
            <w:r w:rsidRPr="005E4EBB">
              <w:rPr>
                <w:i/>
              </w:rPr>
              <w:t>s-Laut</w:t>
            </w:r>
            <w:r>
              <w:t xml:space="preserve"> nach kurzem Vokal muss </w:t>
            </w:r>
            <w:r w:rsidRPr="005E4EBB">
              <w:rPr>
                <w:i/>
              </w:rPr>
              <w:t>ss</w:t>
            </w:r>
            <w:r>
              <w:t xml:space="preserve"> geschrieben werden, wenn es sich um die Konjunktion </w:t>
            </w:r>
            <w:r w:rsidRPr="005E4EBB">
              <w:rPr>
                <w:i/>
              </w:rPr>
              <w:t>dass</w:t>
            </w:r>
            <w:r>
              <w:t xml:space="preserve"> handelt. </w:t>
            </w:r>
          </w:p>
        </w:tc>
      </w:tr>
      <w:tr w:rsidR="00EA576A" w14:paraId="122BDDF5" w14:textId="77777777" w:rsidTr="00EA576A">
        <w:tc>
          <w:tcPr>
            <w:tcW w:w="2972" w:type="dxa"/>
          </w:tcPr>
          <w:p w14:paraId="160A265B" w14:textId="77777777" w:rsidR="00EA576A" w:rsidRDefault="00EA576A" w:rsidP="00EA576A">
            <w:pPr>
              <w:spacing w:after="0" w:line="240" w:lineRule="auto"/>
            </w:pPr>
            <w:r>
              <w:t xml:space="preserve">… </w:t>
            </w:r>
            <w:r w:rsidRPr="00454380">
              <w:t xml:space="preserve">das Licht </w:t>
            </w:r>
            <w:r w:rsidRPr="00454380">
              <w:rPr>
                <w:i/>
              </w:rPr>
              <w:t>sich</w:t>
            </w:r>
            <w:r w:rsidRPr="00454380">
              <w:t xml:space="preserve"> grün Richtung </w:t>
            </w:r>
            <w:r w:rsidRPr="00454380">
              <w:rPr>
                <w:i/>
              </w:rPr>
              <w:t>reflektiert</w:t>
            </w:r>
            <w:r>
              <w:t xml:space="preserve"> (c)</w:t>
            </w:r>
          </w:p>
          <w:p w14:paraId="1E6E22D0" w14:textId="77777777" w:rsidR="00EA576A" w:rsidRDefault="00EA576A" w:rsidP="00EA576A">
            <w:pPr>
              <w:spacing w:after="0" w:line="240" w:lineRule="auto"/>
            </w:pPr>
          </w:p>
        </w:tc>
        <w:tc>
          <w:tcPr>
            <w:tcW w:w="6372" w:type="dxa"/>
          </w:tcPr>
          <w:p w14:paraId="023A506C" w14:textId="7A758623" w:rsidR="00EA576A" w:rsidRDefault="00EA576A" w:rsidP="00451713">
            <w:pPr>
              <w:spacing w:after="0" w:line="240" w:lineRule="auto"/>
            </w:pPr>
            <w:r>
              <w:t xml:space="preserve">Das Verb </w:t>
            </w:r>
            <w:r w:rsidRPr="005E4EBB">
              <w:rPr>
                <w:i/>
              </w:rPr>
              <w:t>reflektieren</w:t>
            </w:r>
            <w:r w:rsidRPr="009C4787">
              <w:t xml:space="preserve"> ist kein reflexives Verb. </w:t>
            </w:r>
            <w:r>
              <w:t>(Das Licht kann von einem Spiegel o.ä. reflektiert werden.)</w:t>
            </w:r>
            <w:r w:rsidR="00451713">
              <w:t xml:space="preserve"> </w:t>
            </w:r>
          </w:p>
        </w:tc>
      </w:tr>
      <w:tr w:rsidR="00EA576A" w14:paraId="7904A281" w14:textId="77777777" w:rsidTr="00EA576A">
        <w:tc>
          <w:tcPr>
            <w:tcW w:w="2972" w:type="dxa"/>
          </w:tcPr>
          <w:p w14:paraId="37EEC59E" w14:textId="77777777" w:rsidR="00EA576A" w:rsidRDefault="00EA576A" w:rsidP="00EA576A">
            <w:pPr>
              <w:spacing w:after="0" w:line="240" w:lineRule="auto"/>
            </w:pPr>
            <w:r w:rsidRPr="00454380">
              <w:rPr>
                <w:i/>
              </w:rPr>
              <w:t>Je, desto</w:t>
            </w:r>
            <w:r w:rsidRPr="00454380">
              <w:t xml:space="preserve"> näher du bist,</w:t>
            </w:r>
            <w:r>
              <w:t xml:space="preserve"> … (d)</w:t>
            </w:r>
          </w:p>
          <w:p w14:paraId="5E1FFF0F" w14:textId="77777777" w:rsidR="00EA576A" w:rsidRDefault="00EA576A" w:rsidP="00EA576A">
            <w:pPr>
              <w:spacing w:after="0" w:line="240" w:lineRule="auto"/>
            </w:pPr>
          </w:p>
        </w:tc>
        <w:tc>
          <w:tcPr>
            <w:tcW w:w="6372" w:type="dxa"/>
          </w:tcPr>
          <w:p w14:paraId="0C88D94A" w14:textId="77777777" w:rsidR="00EA576A" w:rsidRDefault="00EA576A" w:rsidP="00EA576A">
            <w:pPr>
              <w:spacing w:after="0" w:line="240" w:lineRule="auto"/>
            </w:pPr>
            <w:r>
              <w:t xml:space="preserve">Das Satzmuster wurde trotz der Hilfestellung der Lehrkraft vielleicht noch nicht richtig verstanden. (Der erste Satz wurde aufgrund der Hilfestellung der Lehrkraft allerdings richtig formuliert.) Die zweiteilige Konjunktion </w:t>
            </w:r>
            <w:r w:rsidRPr="005E4EBB">
              <w:rPr>
                <w:i/>
              </w:rPr>
              <w:t>je</w:t>
            </w:r>
            <w:r>
              <w:rPr>
                <w:i/>
              </w:rPr>
              <w:t xml:space="preserve"> …</w:t>
            </w:r>
            <w:r>
              <w:t xml:space="preserve"> </w:t>
            </w:r>
            <w:r w:rsidRPr="005E4EBB">
              <w:rPr>
                <w:i/>
              </w:rPr>
              <w:t>desto</w:t>
            </w:r>
            <w:r>
              <w:t xml:space="preserve"> setzt zwei Komparative zueinander in Beziehung, z.B.: </w:t>
            </w:r>
            <w:r w:rsidRPr="005E4EBB">
              <w:rPr>
                <w:i/>
              </w:rPr>
              <w:t xml:space="preserve">Je </w:t>
            </w:r>
            <w:r w:rsidRPr="000E0250">
              <w:rPr>
                <w:i/>
                <w:u w:val="single"/>
              </w:rPr>
              <w:t>weiter</w:t>
            </w:r>
            <w:r w:rsidRPr="005E4EBB">
              <w:rPr>
                <w:i/>
              </w:rPr>
              <w:t xml:space="preserve"> der Schirm nach hinten verschoben wird, desto </w:t>
            </w:r>
            <w:r w:rsidRPr="000E0250">
              <w:rPr>
                <w:i/>
                <w:u w:val="single"/>
              </w:rPr>
              <w:t>größer</w:t>
            </w:r>
            <w:r w:rsidRPr="005E4EBB">
              <w:rPr>
                <w:i/>
              </w:rPr>
              <w:t xml:space="preserve"> ist das Schattenbild. </w:t>
            </w:r>
          </w:p>
        </w:tc>
      </w:tr>
      <w:tr w:rsidR="00EA576A" w14:paraId="031D60EB" w14:textId="77777777" w:rsidTr="00EA576A">
        <w:tc>
          <w:tcPr>
            <w:tcW w:w="2972" w:type="dxa"/>
            <w:shd w:val="clear" w:color="auto" w:fill="D0CECE" w:themeFill="background2" w:themeFillShade="E6"/>
          </w:tcPr>
          <w:p w14:paraId="41DB18AA" w14:textId="77777777" w:rsidR="00EA576A" w:rsidRPr="00CB7C39" w:rsidRDefault="00EA576A" w:rsidP="00EA576A">
            <w:pPr>
              <w:spacing w:before="120" w:after="120" w:line="240" w:lineRule="auto"/>
              <w:rPr>
                <w:b/>
              </w:rPr>
            </w:pPr>
            <w:r w:rsidRPr="00CB7C39">
              <w:rPr>
                <w:b/>
              </w:rPr>
              <w:t xml:space="preserve">3. </w:t>
            </w:r>
            <w:r>
              <w:rPr>
                <w:b/>
              </w:rPr>
              <w:t xml:space="preserve">Verwendung von </w:t>
            </w:r>
            <w:r w:rsidRPr="00CB7C39">
              <w:rPr>
                <w:b/>
              </w:rPr>
              <w:t>Bildungs-</w:t>
            </w:r>
            <w:r>
              <w:rPr>
                <w:b/>
              </w:rPr>
              <w:t xml:space="preserve"> und </w:t>
            </w:r>
            <w:r w:rsidRPr="00CB7C39">
              <w:rPr>
                <w:b/>
              </w:rPr>
              <w:t>Fachsprach</w:t>
            </w:r>
            <w:r>
              <w:rPr>
                <w:b/>
              </w:rPr>
              <w:t xml:space="preserve">e </w:t>
            </w:r>
          </w:p>
        </w:tc>
        <w:tc>
          <w:tcPr>
            <w:tcW w:w="6372" w:type="dxa"/>
            <w:shd w:val="clear" w:color="auto" w:fill="D0CECE" w:themeFill="background2" w:themeFillShade="E6"/>
          </w:tcPr>
          <w:p w14:paraId="0D4DF785" w14:textId="77777777" w:rsidR="00EA576A" w:rsidRDefault="00EA576A" w:rsidP="00EA576A">
            <w:pPr>
              <w:spacing w:before="120" w:after="120" w:line="240" w:lineRule="auto"/>
            </w:pPr>
          </w:p>
        </w:tc>
      </w:tr>
      <w:tr w:rsidR="00EA576A" w14:paraId="58FA0740" w14:textId="77777777" w:rsidTr="00EA576A">
        <w:tc>
          <w:tcPr>
            <w:tcW w:w="9344" w:type="dxa"/>
            <w:gridSpan w:val="2"/>
          </w:tcPr>
          <w:p w14:paraId="191BC24F" w14:textId="56F68ADE" w:rsidR="00EA576A" w:rsidRDefault="00EA576A" w:rsidP="00EA576A">
            <w:pPr>
              <w:spacing w:after="0" w:line="240" w:lineRule="auto"/>
            </w:pPr>
            <w:r>
              <w:t xml:space="preserve">Betrachtet man diese Kategorie, stellt sich die Frage, ob der Versuchsaufbau nicht richtig verstanden wurde, oder ob dem Schüler </w:t>
            </w:r>
            <w:r w:rsidR="000E0250">
              <w:t>(</w:t>
            </w:r>
            <w:r>
              <w:t>zumindest in manchen Fällen</w:t>
            </w:r>
            <w:r w:rsidR="000E0250">
              <w:t>)</w:t>
            </w:r>
            <w:r>
              <w:t xml:space="preserve"> lediglich die sprachlichen Mittel fehlen, um den Sachverhalt adäquat auszudrücken.</w:t>
            </w:r>
          </w:p>
        </w:tc>
      </w:tr>
      <w:tr w:rsidR="00EA576A" w14:paraId="34867ED1" w14:textId="77777777" w:rsidTr="00EA576A">
        <w:tc>
          <w:tcPr>
            <w:tcW w:w="2972" w:type="dxa"/>
          </w:tcPr>
          <w:p w14:paraId="0AF4F5B9" w14:textId="77777777" w:rsidR="00EA576A" w:rsidRDefault="00EA576A" w:rsidP="00EA576A">
            <w:pPr>
              <w:spacing w:after="0" w:line="240" w:lineRule="auto"/>
            </w:pPr>
            <w:r w:rsidRPr="00454380">
              <w:rPr>
                <w:i/>
              </w:rPr>
              <w:t>grün Richtung</w:t>
            </w:r>
            <w:r>
              <w:t xml:space="preserve"> (c)</w:t>
            </w:r>
          </w:p>
          <w:p w14:paraId="72837B04" w14:textId="77777777" w:rsidR="00EA576A" w:rsidRDefault="00EA576A" w:rsidP="00EA576A">
            <w:pPr>
              <w:spacing w:after="0" w:line="240" w:lineRule="auto"/>
            </w:pPr>
          </w:p>
        </w:tc>
        <w:tc>
          <w:tcPr>
            <w:tcW w:w="6372" w:type="dxa"/>
          </w:tcPr>
          <w:p w14:paraId="39134D3A" w14:textId="77777777" w:rsidR="00EA576A" w:rsidRDefault="00EA576A" w:rsidP="00EA576A">
            <w:pPr>
              <w:spacing w:after="0" w:line="240" w:lineRule="auto"/>
            </w:pPr>
            <w:r>
              <w:t xml:space="preserve">Nicht die Richtung ist grün, sondern der obere Halbschatten, der von der Lichtquelle erzeugt wird. </w:t>
            </w:r>
          </w:p>
        </w:tc>
      </w:tr>
      <w:tr w:rsidR="00EA576A" w14:paraId="38A1895D" w14:textId="77777777" w:rsidTr="00EA576A">
        <w:tc>
          <w:tcPr>
            <w:tcW w:w="2972" w:type="dxa"/>
          </w:tcPr>
          <w:p w14:paraId="26BBDC1D" w14:textId="77777777" w:rsidR="00EA576A" w:rsidRDefault="00EA576A" w:rsidP="00EA576A">
            <w:pPr>
              <w:spacing w:after="0" w:line="240" w:lineRule="auto"/>
            </w:pPr>
            <w:r w:rsidRPr="00454380">
              <w:rPr>
                <w:i/>
              </w:rPr>
              <w:lastRenderedPageBreak/>
              <w:t>reflektiert</w:t>
            </w:r>
            <w:r>
              <w:t xml:space="preserve"> (c)</w:t>
            </w:r>
          </w:p>
        </w:tc>
        <w:tc>
          <w:tcPr>
            <w:tcW w:w="6372" w:type="dxa"/>
          </w:tcPr>
          <w:p w14:paraId="0FF80341" w14:textId="77777777" w:rsidR="00EA576A" w:rsidRDefault="00EA576A" w:rsidP="00EA576A">
            <w:pPr>
              <w:spacing w:after="0" w:line="240" w:lineRule="auto"/>
            </w:pPr>
            <w:r w:rsidRPr="005E4EBB">
              <w:rPr>
                <w:i/>
              </w:rPr>
              <w:t>Reflektiert</w:t>
            </w:r>
            <w:r>
              <w:t xml:space="preserve"> ist in diesem Sinnzusammenhang ein unpassender Begriff. Dem Erwartungshorizont der Lehrkraft entsprechend müsste es heißen: </w:t>
            </w:r>
            <w:r w:rsidRPr="005E4EBB">
              <w:rPr>
                <w:i/>
              </w:rPr>
              <w:t>Die Lichtquelle leuchtet in das Schattengebiet hinein.</w:t>
            </w:r>
            <w:r>
              <w:t xml:space="preserve"> </w:t>
            </w:r>
          </w:p>
        </w:tc>
      </w:tr>
      <w:tr w:rsidR="00EA576A" w14:paraId="0103F7C1" w14:textId="77777777" w:rsidTr="00EA576A">
        <w:tc>
          <w:tcPr>
            <w:tcW w:w="2972" w:type="dxa"/>
          </w:tcPr>
          <w:p w14:paraId="281F89D5" w14:textId="77777777" w:rsidR="00EA576A" w:rsidRDefault="00EA576A" w:rsidP="00EA576A">
            <w:pPr>
              <w:spacing w:after="0" w:line="240" w:lineRule="auto"/>
            </w:pPr>
            <w:r>
              <w:t xml:space="preserve">Je weiter </w:t>
            </w:r>
            <w:r w:rsidRPr="00454380">
              <w:rPr>
                <w:i/>
              </w:rPr>
              <w:t>du</w:t>
            </w:r>
            <w:r>
              <w:t xml:space="preserve"> entfährnt bist, … (d) </w:t>
            </w:r>
          </w:p>
          <w:p w14:paraId="5CF76A12" w14:textId="77777777" w:rsidR="00EA576A" w:rsidRDefault="00EA576A" w:rsidP="00EA576A">
            <w:pPr>
              <w:spacing w:after="0" w:line="240" w:lineRule="auto"/>
              <w:rPr>
                <w:highlight w:val="yellow"/>
              </w:rPr>
            </w:pPr>
          </w:p>
        </w:tc>
        <w:tc>
          <w:tcPr>
            <w:tcW w:w="6372" w:type="dxa"/>
          </w:tcPr>
          <w:p w14:paraId="1AAD2F80" w14:textId="7735F2D3" w:rsidR="00EA576A" w:rsidRDefault="00EA576A" w:rsidP="00EA576A">
            <w:pPr>
              <w:spacing w:after="0" w:line="240" w:lineRule="auto"/>
            </w:pPr>
            <w:r>
              <w:t xml:space="preserve">Die Verwendung des Anredepronomens </w:t>
            </w:r>
            <w:r w:rsidRPr="005E4EBB">
              <w:rPr>
                <w:i/>
              </w:rPr>
              <w:t>du</w:t>
            </w:r>
            <w:r>
              <w:t xml:space="preserve"> ist unangemessen. Um den Sachverhalt verallgemeinernd und unpersönlich auszudrücken, müsste das Indefinitpronomen </w:t>
            </w:r>
            <w:r w:rsidRPr="005E4EBB">
              <w:rPr>
                <w:i/>
              </w:rPr>
              <w:t>man</w:t>
            </w:r>
            <w:r>
              <w:t xml:space="preserve"> verwendet werden. Das Pronomen </w:t>
            </w:r>
            <w:r w:rsidRPr="005E4EBB">
              <w:rPr>
                <w:i/>
              </w:rPr>
              <w:t>du</w:t>
            </w:r>
            <w:r>
              <w:t xml:space="preserve"> wird vermutlich häufig von der Lehrkraft in der Unterrichtsinteraktion verwendet (=</w:t>
            </w:r>
            <w:r w:rsidR="00451713">
              <w:t> </w:t>
            </w:r>
            <w:r>
              <w:t>Sprache der Nähe), z.B. wenn die Lehrkra</w:t>
            </w:r>
            <w:r w:rsidR="000E0250">
              <w:t xml:space="preserve">ft den Versuchsaufbau erklärt. </w:t>
            </w:r>
          </w:p>
        </w:tc>
      </w:tr>
      <w:tr w:rsidR="00EA576A" w14:paraId="0F58419B" w14:textId="77777777" w:rsidTr="00EA576A">
        <w:tc>
          <w:tcPr>
            <w:tcW w:w="2972" w:type="dxa"/>
          </w:tcPr>
          <w:p w14:paraId="104447B6" w14:textId="77777777" w:rsidR="00EA576A" w:rsidRDefault="00EA576A" w:rsidP="00EA576A">
            <w:pPr>
              <w:spacing w:after="0" w:line="240" w:lineRule="auto"/>
            </w:pPr>
            <w:r w:rsidRPr="00454380">
              <w:rPr>
                <w:i/>
              </w:rPr>
              <w:t>Je weiter du entfährnt bist</w:t>
            </w:r>
            <w:r>
              <w:t xml:space="preserve">, … (d) </w:t>
            </w:r>
          </w:p>
          <w:p w14:paraId="267FC51F" w14:textId="77777777" w:rsidR="00EA576A" w:rsidRDefault="00EA576A" w:rsidP="00EA576A">
            <w:pPr>
              <w:spacing w:after="0" w:line="240" w:lineRule="auto"/>
              <w:rPr>
                <w:highlight w:val="yellow"/>
              </w:rPr>
            </w:pPr>
          </w:p>
        </w:tc>
        <w:tc>
          <w:tcPr>
            <w:tcW w:w="6372" w:type="dxa"/>
          </w:tcPr>
          <w:p w14:paraId="0EB9F77D" w14:textId="77777777" w:rsidR="00EA576A" w:rsidRDefault="00EA576A" w:rsidP="00EA576A">
            <w:pPr>
              <w:spacing w:after="0" w:line="240" w:lineRule="auto"/>
            </w:pPr>
            <w:r>
              <w:t xml:space="preserve">Nicht die den Versuch durchführende oder betrachtende Person, sondern der Schirm ist von dem beleuchteten Gegenstand unterschiedlich weit entfernt. Eventuell umschreibt der Schüler die ihm nicht bekannten Fachbegriffe mit </w:t>
            </w:r>
            <w:r w:rsidRPr="005E4EBB">
              <w:rPr>
                <w:i/>
              </w:rPr>
              <w:t>du</w:t>
            </w:r>
            <w:r>
              <w:t xml:space="preserve">. </w:t>
            </w:r>
          </w:p>
        </w:tc>
      </w:tr>
      <w:tr w:rsidR="00EA576A" w14:paraId="47E1AA86" w14:textId="77777777" w:rsidTr="00EA576A">
        <w:tc>
          <w:tcPr>
            <w:tcW w:w="2972" w:type="dxa"/>
          </w:tcPr>
          <w:p w14:paraId="47D98234" w14:textId="77777777" w:rsidR="00EA576A" w:rsidRDefault="00EA576A" w:rsidP="00EA576A">
            <w:pPr>
              <w:spacing w:after="0" w:line="240" w:lineRule="auto"/>
            </w:pPr>
            <w:r>
              <w:t xml:space="preserve">Je, desto </w:t>
            </w:r>
            <w:r w:rsidRPr="00454380">
              <w:t xml:space="preserve">näher </w:t>
            </w:r>
            <w:r w:rsidRPr="00454380">
              <w:rPr>
                <w:i/>
              </w:rPr>
              <w:t>du</w:t>
            </w:r>
            <w:r>
              <w:t xml:space="preserve"> bist, … (d) </w:t>
            </w:r>
          </w:p>
          <w:p w14:paraId="7E64F17F" w14:textId="77777777" w:rsidR="00EA576A" w:rsidRDefault="00EA576A" w:rsidP="00EA576A">
            <w:pPr>
              <w:spacing w:after="0" w:line="240" w:lineRule="auto"/>
              <w:rPr>
                <w:highlight w:val="yellow"/>
              </w:rPr>
            </w:pPr>
          </w:p>
        </w:tc>
        <w:tc>
          <w:tcPr>
            <w:tcW w:w="6372" w:type="dxa"/>
          </w:tcPr>
          <w:p w14:paraId="01918D2D" w14:textId="77777777" w:rsidR="00EA576A" w:rsidRDefault="00EA576A" w:rsidP="00EA576A">
            <w:pPr>
              <w:spacing w:after="0" w:line="240" w:lineRule="auto"/>
            </w:pPr>
            <w:r w:rsidRPr="00600460">
              <w:t xml:space="preserve">Die Verwendung des Anredepronomens </w:t>
            </w:r>
            <w:r w:rsidRPr="005E4EBB">
              <w:rPr>
                <w:i/>
              </w:rPr>
              <w:t>du</w:t>
            </w:r>
            <w:r w:rsidRPr="00600460">
              <w:t xml:space="preserve"> ist unangemessen. Um den Sachverhalt verallgemeinernd und unpersönlich auszudrücken, müsste das Indefinitpronomen </w:t>
            </w:r>
            <w:r w:rsidRPr="005E4EBB">
              <w:rPr>
                <w:i/>
              </w:rPr>
              <w:t>man</w:t>
            </w:r>
            <w:r w:rsidRPr="00600460">
              <w:t xml:space="preserve"> verwendet werden</w:t>
            </w:r>
            <w:r>
              <w:t xml:space="preserve"> (s.o.)</w:t>
            </w:r>
            <w:r w:rsidRPr="00600460">
              <w:t>.</w:t>
            </w:r>
          </w:p>
        </w:tc>
      </w:tr>
      <w:tr w:rsidR="00EA576A" w14:paraId="74BD95C1" w14:textId="77777777" w:rsidTr="00EA576A">
        <w:tc>
          <w:tcPr>
            <w:tcW w:w="2972" w:type="dxa"/>
          </w:tcPr>
          <w:p w14:paraId="3757B2D8" w14:textId="77777777" w:rsidR="00EA576A" w:rsidRDefault="00EA576A" w:rsidP="00EA576A">
            <w:pPr>
              <w:spacing w:after="0" w:line="240" w:lineRule="auto"/>
            </w:pPr>
            <w:r w:rsidRPr="005E4EBB">
              <w:rPr>
                <w:i/>
              </w:rPr>
              <w:t>Je … näher du bist</w:t>
            </w:r>
            <w:r w:rsidRPr="00454380">
              <w:t>,</w:t>
            </w:r>
            <w:r>
              <w:t xml:space="preserve"> … (d) </w:t>
            </w:r>
          </w:p>
          <w:p w14:paraId="3A74D772" w14:textId="77777777" w:rsidR="00EA576A" w:rsidRDefault="00EA576A" w:rsidP="00EA576A">
            <w:pPr>
              <w:spacing w:after="0" w:line="240" w:lineRule="auto"/>
              <w:rPr>
                <w:highlight w:val="yellow"/>
              </w:rPr>
            </w:pPr>
          </w:p>
        </w:tc>
        <w:tc>
          <w:tcPr>
            <w:tcW w:w="6372" w:type="dxa"/>
          </w:tcPr>
          <w:p w14:paraId="2F79F520" w14:textId="77777777" w:rsidR="00EA576A" w:rsidRDefault="00EA576A" w:rsidP="00EA576A">
            <w:pPr>
              <w:spacing w:after="0" w:line="240" w:lineRule="auto"/>
            </w:pPr>
            <w:r>
              <w:t xml:space="preserve">Hier wird die räumliche Beziehung zwischen der mit </w:t>
            </w:r>
            <w:r w:rsidRPr="005E4EBB">
              <w:rPr>
                <w:i/>
              </w:rPr>
              <w:t>du</w:t>
            </w:r>
            <w:r>
              <w:t xml:space="preserve"> bezeichneten Person und einem bestimmten Gegenstand nicht deutlich. Vermutlich kennt der Schüler die erforderlichen Fachbegriffe noch nicht, um den Versuchsaufbau präzise beschreiben zu können. </w:t>
            </w:r>
          </w:p>
        </w:tc>
      </w:tr>
    </w:tbl>
    <w:p w14:paraId="2826F1BE" w14:textId="77777777" w:rsidR="00EA576A" w:rsidRDefault="00EA576A" w:rsidP="00EA576A">
      <w:pPr>
        <w:jc w:val="both"/>
      </w:pPr>
    </w:p>
    <w:p w14:paraId="7914DDC3" w14:textId="77777777" w:rsidR="00EA576A" w:rsidRDefault="00EA576A" w:rsidP="00EA576A">
      <w:pPr>
        <w:jc w:val="both"/>
      </w:pPr>
      <w:r>
        <w:t xml:space="preserve">Zu Aufgabe 3: </w:t>
      </w:r>
    </w:p>
    <w:p w14:paraId="308C7694" w14:textId="77777777" w:rsidR="00EA576A" w:rsidRDefault="00EA576A" w:rsidP="00EA576A">
      <w:pPr>
        <w:jc w:val="both"/>
      </w:pPr>
      <w:r>
        <w:t xml:space="preserve">Mit dem Ansatz des Scaffolding können die auf die fachlichen Inhalte bezogenen Sprachkompetenzen des Schülers (und auch der anderen Lernenden) im Fachunterricht entwicklungsorientiert gefördert werden. </w:t>
      </w:r>
    </w:p>
    <w:p w14:paraId="17ADE59C" w14:textId="77777777" w:rsidR="00EA576A" w:rsidRDefault="00EA576A" w:rsidP="00EA576A">
      <w:pPr>
        <w:jc w:val="both"/>
      </w:pPr>
      <w:r>
        <w:t xml:space="preserve">Bei diesem Schüler sollte vor allem der Fachwortschatz erweitert werden, z.B. indem die Lehrkraft den Versuchsaufbau ausführlich erklärt und sich dabei auf den verständnisunterstützenden situativen Kontext bezieht (z.B. durch Zeigegesten und die Benennung von Gegenständen). Neu gelernte Fachbegriffe sollten schriftlich in einem Glossar o.ä. festgehalten werden. </w:t>
      </w:r>
    </w:p>
    <w:p w14:paraId="054E3CFC" w14:textId="77777777" w:rsidR="00EA576A" w:rsidRDefault="00EA576A" w:rsidP="00EA576A">
      <w:pPr>
        <w:jc w:val="both"/>
      </w:pPr>
      <w:r>
        <w:t xml:space="preserve">Die Sprechkompetenzen des Schülers können gefördert werden, indem er dazu aufgefordert und ermutigt wird, den Versuchsaufbau selbst zu erklären. Ergänzend kann die Lehrkraft sukzessive die notwendigen Fachbegriffe und Redemittel einführen. Dabei ist es wichtig zu beachten, zunehmend distanzsprachliche Mittel einzuführen (z.B. </w:t>
      </w:r>
      <w:r w:rsidRPr="005E4EBB">
        <w:rPr>
          <w:i/>
        </w:rPr>
        <w:t>man</w:t>
      </w:r>
      <w:r>
        <w:t xml:space="preserve"> anstelle von </w:t>
      </w:r>
      <w:r w:rsidRPr="005E4EBB">
        <w:rPr>
          <w:i/>
        </w:rPr>
        <w:t>du</w:t>
      </w:r>
      <w:r>
        <w:t xml:space="preserve">). </w:t>
      </w:r>
    </w:p>
    <w:p w14:paraId="25864293" w14:textId="2F151832" w:rsidR="00EA576A" w:rsidRDefault="00EA576A" w:rsidP="00EA576A">
      <w:pPr>
        <w:jc w:val="both"/>
      </w:pPr>
      <w:r>
        <w:t xml:space="preserve">Die Schreibkompetenzen des Schülers können durch das Anfertigen eines Versuchsprotokolls erweitert werden. Da ihm das freie Formulieren offensichtlich noch nicht gelingt, sollten zunächst noch vorformulierte Sprach- bzw. Satzbausteine vorgegeben werden. </w:t>
      </w:r>
    </w:p>
    <w:p w14:paraId="2AB4CFA1" w14:textId="691F0427" w:rsidR="00EA576A" w:rsidRDefault="00EA576A" w:rsidP="00EA576A">
      <w:pPr>
        <w:jc w:val="both"/>
      </w:pPr>
      <w:r>
        <w:t xml:space="preserve">Themen wie z.B. das Wiederholen der Regeln zur Groß- und Kleinschreibung oder zur Schreibung von </w:t>
      </w:r>
      <w:r w:rsidRPr="005E4EBB">
        <w:rPr>
          <w:i/>
        </w:rPr>
        <w:t>s-Lauten</w:t>
      </w:r>
      <w:r>
        <w:t xml:space="preserve"> können sicherlich besser im Deutschunterricht bearbeitet werden. Es wäre aber zu überlegen, ob die korrekte Rechtschreibung von Fachbegriffen nicht auch im Fachunterricht thematisiert werden kann. </w:t>
      </w:r>
    </w:p>
    <w:p w14:paraId="64C986C3" w14:textId="77777777" w:rsidR="00F61B84" w:rsidRPr="00D35885" w:rsidRDefault="00F61B84" w:rsidP="00CB00DD">
      <w:pPr>
        <w:spacing w:after="120" w:line="300" w:lineRule="exact"/>
        <w:rPr>
          <w:rFonts w:cs="Open Sans"/>
        </w:rPr>
      </w:pPr>
    </w:p>
    <w:p w14:paraId="64C986C5" w14:textId="77777777" w:rsidR="00CB00DD" w:rsidRPr="00D35885" w:rsidRDefault="00CB00DD" w:rsidP="00CB00DD">
      <w:pPr>
        <w:spacing w:after="120" w:line="300" w:lineRule="exact"/>
        <w:rPr>
          <w:rFonts w:cs="Open Sans"/>
        </w:rPr>
      </w:pPr>
    </w:p>
    <w:sectPr w:rsidR="00CB00DD" w:rsidRPr="00D35885" w:rsidSect="00CB00DD">
      <w:headerReference w:type="even" r:id="rId6"/>
      <w:headerReference w:type="default" r:id="rId7"/>
      <w:footerReference w:type="even" r:id="rId8"/>
      <w:footerReference w:type="default" r:id="rId9"/>
      <w:headerReference w:type="first" r:id="rId10"/>
      <w:footerReference w:type="first" r:id="rId11"/>
      <w:pgSz w:w="11906" w:h="16838"/>
      <w:pgMar w:top="1985" w:right="1276" w:bottom="1276" w:left="1276"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9CDCB" w14:textId="77777777" w:rsidR="007F6E19" w:rsidRDefault="007F6E19" w:rsidP="00CB00DD">
      <w:r>
        <w:separator/>
      </w:r>
    </w:p>
  </w:endnote>
  <w:endnote w:type="continuationSeparator" w:id="0">
    <w:p w14:paraId="3DE369F6" w14:textId="77777777" w:rsidR="007F6E19" w:rsidRDefault="007F6E19" w:rsidP="00CB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fa Rotis Sans Serif Light">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tis Sans Serif Std Light">
    <w:panose1 w:val="00000000000000000000"/>
    <w:charset w:val="00"/>
    <w:family w:val="swiss"/>
    <w:notTrueType/>
    <w:pitch w:val="variable"/>
    <w:sig w:usb0="00000003" w:usb1="00000001" w:usb2="00000000" w:usb3="00000000" w:csb0="00000001"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BE7C" w14:textId="77777777" w:rsidR="008648CC" w:rsidRDefault="008648CC">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3"/>
      <w:gridCol w:w="1871"/>
    </w:tblGrid>
    <w:sdt>
      <w:sdtPr>
        <w:rPr>
          <w:rFonts w:asciiTheme="majorHAnsi" w:eastAsiaTheme="majorEastAsia" w:hAnsiTheme="majorHAnsi" w:cstheme="majorBidi"/>
          <w:sz w:val="20"/>
          <w:szCs w:val="20"/>
        </w:rPr>
        <w:id w:val="2072231074"/>
        <w:docPartObj>
          <w:docPartGallery w:val="Page Numbers (Bottom of Page)"/>
          <w:docPartUnique/>
        </w:docPartObj>
      </w:sdtPr>
      <w:sdtEndPr>
        <w:rPr>
          <w:rFonts w:ascii="Open Sans" w:eastAsiaTheme="minorHAnsi" w:hAnsi="Open Sans" w:cs="Open Sans"/>
          <w:sz w:val="22"/>
          <w:szCs w:val="22"/>
        </w:rPr>
      </w:sdtEndPr>
      <w:sdtContent>
        <w:tr w:rsidR="00CB00DD" w14:paraId="64C986D1" w14:textId="77777777" w:rsidTr="00CB00DD">
          <w:trPr>
            <w:trHeight w:val="727"/>
          </w:trPr>
          <w:tc>
            <w:tcPr>
              <w:tcW w:w="4000" w:type="pct"/>
              <w:tcBorders>
                <w:right w:val="double" w:sz="4" w:space="0" w:color="auto"/>
              </w:tcBorders>
            </w:tcPr>
            <w:p w14:paraId="64C986CF" w14:textId="77777777" w:rsidR="00CB00DD" w:rsidRDefault="00CB00DD">
              <w:pPr>
                <w:tabs>
                  <w:tab w:val="left" w:pos="620"/>
                  <w:tab w:val="center" w:pos="4320"/>
                </w:tabs>
                <w:jc w:val="right"/>
                <w:rPr>
                  <w:rFonts w:asciiTheme="majorHAnsi" w:eastAsiaTheme="majorEastAsia" w:hAnsiTheme="majorHAnsi" w:cstheme="majorBidi"/>
                  <w:sz w:val="20"/>
                  <w:szCs w:val="20"/>
                </w:rPr>
              </w:pPr>
            </w:p>
          </w:tc>
          <w:tc>
            <w:tcPr>
              <w:tcW w:w="1000" w:type="pct"/>
              <w:tcBorders>
                <w:left w:val="double" w:sz="4" w:space="0" w:color="auto"/>
              </w:tcBorders>
            </w:tcPr>
            <w:p w14:paraId="64C986D0" w14:textId="70DC6584" w:rsidR="00CB00DD" w:rsidRPr="00CB00DD" w:rsidRDefault="00CB00DD">
              <w:pPr>
                <w:tabs>
                  <w:tab w:val="left" w:pos="1490"/>
                </w:tabs>
                <w:rPr>
                  <w:rFonts w:ascii="Open Sans" w:eastAsiaTheme="majorEastAsia" w:hAnsi="Open Sans" w:cs="Open Sans"/>
                  <w:szCs w:val="28"/>
                </w:rPr>
              </w:pPr>
              <w:r w:rsidRPr="00CB00DD">
                <w:rPr>
                  <w:rFonts w:ascii="Open Sans" w:hAnsi="Open Sans" w:cs="Open Sans"/>
                </w:rPr>
                <w:fldChar w:fldCharType="begin"/>
              </w:r>
              <w:r w:rsidRPr="00CB00DD">
                <w:rPr>
                  <w:rFonts w:ascii="Open Sans" w:hAnsi="Open Sans" w:cs="Open Sans"/>
                </w:rPr>
                <w:instrText>PAGE    \* MERGEFORMAT</w:instrText>
              </w:r>
              <w:r w:rsidRPr="00CB00DD">
                <w:rPr>
                  <w:rFonts w:ascii="Open Sans" w:hAnsi="Open Sans" w:cs="Open Sans"/>
                </w:rPr>
                <w:fldChar w:fldCharType="separate"/>
              </w:r>
              <w:r w:rsidR="00E1194F">
                <w:rPr>
                  <w:rFonts w:ascii="Open Sans" w:hAnsi="Open Sans" w:cs="Open Sans"/>
                  <w:noProof/>
                </w:rPr>
                <w:t>1</w:t>
              </w:r>
              <w:r w:rsidRPr="00CB00DD">
                <w:rPr>
                  <w:rFonts w:ascii="Open Sans" w:hAnsi="Open Sans" w:cs="Open Sans"/>
                </w:rPr>
                <w:fldChar w:fldCharType="end"/>
              </w:r>
            </w:p>
          </w:tc>
        </w:tr>
      </w:sdtContent>
    </w:sdt>
  </w:tbl>
  <w:p w14:paraId="64C986D2" w14:textId="77777777" w:rsidR="00CB00DD" w:rsidRDefault="00CB00DD">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735F9" w14:textId="77777777" w:rsidR="008648CC" w:rsidRDefault="008648C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C6D41" w14:textId="77777777" w:rsidR="007F6E19" w:rsidRDefault="007F6E19" w:rsidP="00CB00DD">
      <w:r>
        <w:separator/>
      </w:r>
    </w:p>
  </w:footnote>
  <w:footnote w:type="continuationSeparator" w:id="0">
    <w:p w14:paraId="066B4CAF" w14:textId="77777777" w:rsidR="007F6E19" w:rsidRDefault="007F6E19" w:rsidP="00CB00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0C04" w14:textId="77777777" w:rsidR="008648CC" w:rsidRDefault="008648C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986CB" w14:textId="5F468B05" w:rsidR="00CB00DD" w:rsidRPr="00D35885" w:rsidRDefault="00CB00DD">
    <w:pPr>
      <w:pStyle w:val="Kopfzeile"/>
      <w:rPr>
        <w:rFonts w:asciiTheme="minorHAnsi" w:hAnsiTheme="minorHAnsi" w:cs="Open Sans"/>
        <w:sz w:val="22"/>
        <w:szCs w:val="22"/>
      </w:rPr>
    </w:pPr>
    <w:r w:rsidRPr="00D35885">
      <w:rPr>
        <w:rFonts w:asciiTheme="minorHAnsi" w:hAnsiTheme="minorHAnsi" w:cs="Open Sans"/>
        <w:sz w:val="22"/>
        <w:szCs w:val="22"/>
      </w:rPr>
      <w:t>Handreichung „</w:t>
    </w:r>
    <w:r w:rsidR="008648CC">
      <w:rPr>
        <w:rFonts w:asciiTheme="minorHAnsi" w:hAnsiTheme="minorHAnsi" w:cs="Open Sans"/>
        <w:sz w:val="22"/>
        <w:szCs w:val="22"/>
      </w:rPr>
      <w:t>Sprachbildung im Fach</w:t>
    </w:r>
    <w:r w:rsidRPr="00D35885">
      <w:rPr>
        <w:rFonts w:asciiTheme="minorHAnsi" w:hAnsiTheme="minorHAnsi" w:cs="Open Sans"/>
        <w:sz w:val="22"/>
        <w:szCs w:val="22"/>
      </w:rPr>
      <w:t>“</w:t>
    </w:r>
  </w:p>
  <w:p w14:paraId="64C986CC" w14:textId="4C900A54" w:rsidR="00CB00DD" w:rsidRPr="00D35885" w:rsidRDefault="00CB00DD">
    <w:pPr>
      <w:pStyle w:val="Kopfzeile"/>
      <w:rPr>
        <w:rFonts w:asciiTheme="minorHAnsi" w:hAnsiTheme="minorHAnsi" w:cs="Open Sans"/>
        <w:sz w:val="22"/>
        <w:szCs w:val="22"/>
      </w:rPr>
    </w:pPr>
    <w:r w:rsidRPr="00D35885">
      <w:rPr>
        <w:rFonts w:asciiTheme="minorHAnsi" w:hAnsiTheme="minorHAnsi" w:cs="Open Sans"/>
        <w:sz w:val="22"/>
        <w:szCs w:val="22"/>
      </w:rPr>
      <w:t xml:space="preserve">Material zu Fortbildungsbaustein </w:t>
    </w:r>
    <w:r w:rsidR="00EA576A">
      <w:rPr>
        <w:rFonts w:asciiTheme="minorHAnsi" w:hAnsiTheme="minorHAnsi" w:cs="Open Sans"/>
        <w:sz w:val="22"/>
        <w:szCs w:val="22"/>
      </w:rPr>
      <w:t>3</w:t>
    </w:r>
    <w:r w:rsidRPr="00D35885">
      <w:rPr>
        <w:rFonts w:asciiTheme="minorHAnsi" w:hAnsiTheme="minorHAnsi" w:cs="Open Sans"/>
        <w:sz w:val="22"/>
        <w:szCs w:val="22"/>
      </w:rPr>
      <w:t>:</w:t>
    </w:r>
  </w:p>
  <w:p w14:paraId="64C986CD" w14:textId="7ECA3C85" w:rsidR="00CB00DD" w:rsidRPr="00D35885" w:rsidRDefault="00CB00DD">
    <w:pPr>
      <w:pStyle w:val="Kopfzeile"/>
      <w:rPr>
        <w:rFonts w:asciiTheme="minorHAnsi" w:hAnsiTheme="minorHAnsi" w:cs="Open Sans"/>
        <w:sz w:val="22"/>
        <w:szCs w:val="22"/>
      </w:rPr>
    </w:pPr>
    <w:r w:rsidRPr="00D35885">
      <w:rPr>
        <w:rFonts w:asciiTheme="minorHAnsi" w:hAnsiTheme="minorHAnsi" w:cs="Open Sans"/>
        <w:sz w:val="22"/>
        <w:szCs w:val="22"/>
      </w:rPr>
      <w:t>„</w:t>
    </w:r>
    <w:r w:rsidRPr="00D35885">
      <w:rPr>
        <w:rFonts w:asciiTheme="minorHAnsi" w:hAnsiTheme="minorHAnsi" w:cs="Open Sans"/>
        <w:noProof/>
        <w:sz w:val="22"/>
        <w:szCs w:val="22"/>
        <w:lang w:eastAsia="de-DE"/>
      </w:rPr>
      <w:drawing>
        <wp:anchor distT="0" distB="0" distL="114300" distR="114300" simplePos="0" relativeHeight="251659264" behindDoc="1" locked="0" layoutInCell="1" allowOverlap="1" wp14:anchorId="64C986D5" wp14:editId="64C986D6">
          <wp:simplePos x="0" y="0"/>
          <wp:positionH relativeFrom="rightMargin">
            <wp:posOffset>-1742440</wp:posOffset>
          </wp:positionH>
          <wp:positionV relativeFrom="topMargin">
            <wp:posOffset>360045</wp:posOffset>
          </wp:positionV>
          <wp:extent cx="1724400" cy="788400"/>
          <wp:effectExtent l="0" t="0" r="0" b="0"/>
          <wp:wrapNone/>
          <wp:docPr id="1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w:r>
    <w:r w:rsidR="00EA576A">
      <w:rPr>
        <w:rFonts w:asciiTheme="minorHAnsi" w:hAnsiTheme="minorHAnsi" w:cs="Open Sans"/>
        <w:sz w:val="22"/>
        <w:szCs w:val="22"/>
      </w:rPr>
      <w:t>Verfahren der Sprachstandserhebung</w:t>
    </w:r>
    <w:r w:rsidRPr="00D35885">
      <w:rPr>
        <w:rFonts w:asciiTheme="minorHAnsi" w:hAnsiTheme="minorHAnsi" w:cs="Open Sans"/>
        <w:sz w:val="22"/>
        <w:szCs w:val="22"/>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FD3CC" w14:textId="77777777" w:rsidR="008648CC" w:rsidRDefault="008648C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DD"/>
    <w:rsid w:val="000E0250"/>
    <w:rsid w:val="00246D5F"/>
    <w:rsid w:val="002F7574"/>
    <w:rsid w:val="00451713"/>
    <w:rsid w:val="00660F9D"/>
    <w:rsid w:val="007F6E19"/>
    <w:rsid w:val="008648CC"/>
    <w:rsid w:val="00876714"/>
    <w:rsid w:val="00A625A0"/>
    <w:rsid w:val="00CB00DD"/>
    <w:rsid w:val="00D35885"/>
    <w:rsid w:val="00E1194F"/>
    <w:rsid w:val="00EA576A"/>
    <w:rsid w:val="00F21AC1"/>
    <w:rsid w:val="00F61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86C3"/>
  <w15:chartTrackingRefBased/>
  <w15:docId w15:val="{8FE73A5C-A7B2-4613-9961-E38E4D26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gfa Rotis Sans Serif Light" w:eastAsiaTheme="minorHAnsi" w:hAnsi="Agfa Rotis Sans Serif Light"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576A"/>
    <w:pPr>
      <w:spacing w:after="200" w:line="276" w:lineRule="auto"/>
    </w:pPr>
    <w:rPr>
      <w:rFonts w:asciiTheme="minorHAnsi" w:hAnsiTheme="min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0DD"/>
    <w:pPr>
      <w:tabs>
        <w:tab w:val="center" w:pos="4536"/>
        <w:tab w:val="right" w:pos="9072"/>
      </w:tabs>
      <w:spacing w:after="0" w:line="240" w:lineRule="auto"/>
    </w:pPr>
    <w:rPr>
      <w:rFonts w:ascii="Rotis Sans Serif Std Light" w:hAnsi="Rotis Sans Serif Std Light"/>
      <w:sz w:val="24"/>
      <w:szCs w:val="24"/>
    </w:rPr>
  </w:style>
  <w:style w:type="character" w:customStyle="1" w:styleId="KopfzeileZchn">
    <w:name w:val="Kopfzeile Zchn"/>
    <w:basedOn w:val="Absatz-Standardschriftart"/>
    <w:link w:val="Kopfzeile"/>
    <w:uiPriority w:val="99"/>
    <w:rsid w:val="00CB00DD"/>
    <w:rPr>
      <w:rFonts w:ascii="Rotis Sans Serif Std Light" w:hAnsi="Rotis Sans Serif Std Light"/>
    </w:rPr>
  </w:style>
  <w:style w:type="paragraph" w:styleId="Fuzeile">
    <w:name w:val="footer"/>
    <w:basedOn w:val="Standard"/>
    <w:link w:val="FuzeileZchn"/>
    <w:uiPriority w:val="99"/>
    <w:unhideWhenUsed/>
    <w:rsid w:val="00CB00DD"/>
    <w:pPr>
      <w:tabs>
        <w:tab w:val="center" w:pos="4536"/>
        <w:tab w:val="right" w:pos="9072"/>
      </w:tabs>
      <w:spacing w:after="0" w:line="240" w:lineRule="auto"/>
    </w:pPr>
    <w:rPr>
      <w:rFonts w:ascii="Rotis Sans Serif Std Light" w:hAnsi="Rotis Sans Serif Std Light"/>
      <w:sz w:val="24"/>
      <w:szCs w:val="24"/>
    </w:rPr>
  </w:style>
  <w:style w:type="character" w:customStyle="1" w:styleId="FuzeileZchn">
    <w:name w:val="Fußzeile Zchn"/>
    <w:basedOn w:val="Absatz-Standardschriftart"/>
    <w:link w:val="Fuzeile"/>
    <w:uiPriority w:val="99"/>
    <w:rsid w:val="00CB00DD"/>
    <w:rPr>
      <w:rFonts w:ascii="Rotis Sans Serif Std Light" w:hAnsi="Rotis Sans Serif Std Light"/>
    </w:rPr>
  </w:style>
  <w:style w:type="table" w:styleId="Tabellenraster">
    <w:name w:val="Table Grid"/>
    <w:basedOn w:val="NormaleTabelle"/>
    <w:uiPriority w:val="59"/>
    <w:rsid w:val="00EA576A"/>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4511</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Jäger</dc:creator>
  <cp:keywords/>
  <dc:description/>
  <cp:lastModifiedBy>Heidi Seifert</cp:lastModifiedBy>
  <cp:revision>2</cp:revision>
  <dcterms:created xsi:type="dcterms:W3CDTF">2020-08-25T08:55:00Z</dcterms:created>
  <dcterms:modified xsi:type="dcterms:W3CDTF">2020-08-25T08:55:00Z</dcterms:modified>
</cp:coreProperties>
</file>