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cs="Calibri" w:asciiTheme="minorHAnsi" w:hAnsiTheme="minorHAnsi"/>
          <w:b/>
          <w:bCs/>
          <w:sz w:val="28"/>
          <w:szCs w:val="28"/>
        </w:rPr>
      </w:pPr>
      <w:r/>
      <w:bookmarkStart w:id="0" w:name="_GoBack"/>
      <w:r/>
      <w:bookmarkEnd w:id="0"/>
      <w:r>
        <w:rPr>
          <w:rFonts w:cs="Calibri" w:asciiTheme="minorHAnsi" w:hAnsiTheme="minorHAnsi"/>
          <w:b/>
          <w:bCs/>
          <w:sz w:val="28"/>
          <w:szCs w:val="28"/>
        </w:rPr>
        <w:t xml:space="preserve">Sozioökonomische Stellung </w:t>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t xml:space="preserve">Ö</w:t>
      </w:r>
      <w:r>
        <w:rPr>
          <w:rFonts w:cs="Calibri" w:asciiTheme="minorHAnsi" w:hAnsiTheme="minorHAnsi"/>
          <w:b/>
          <w:bCs/>
        </w:rPr>
        <w:t xml:space="preserve">konomisches Kapital</w:t>
      </w:r>
      <w:r/>
    </w:p>
    <w:p>
      <w:pPr>
        <w:rPr>
          <w:rFonts w:cs="Calibri" w:asciiTheme="minorHAnsi" w:hAnsiTheme="minorHAnsi"/>
          <w:b/>
          <w:bCs/>
        </w:rPr>
      </w:pPr>
      <w:r>
        <w:rPr>
          <w:rFonts w:cs="Calibri" w:asciiTheme="minorHAnsi" w:hAnsiTheme="minorHAnsi"/>
          <w:b/>
          <w:bCs/>
        </w:rPr>
      </w:r>
      <w:r/>
    </w:p>
    <w:p>
      <w:pPr>
        <w:jc w:val="both"/>
        <w:rPr>
          <w:rFonts w:cs="Times New Roman" w:eastAsia="FFScala" w:asciiTheme="minorHAnsi" w:hAnsiTheme="minorHAnsi"/>
          <w:color w:val="141314"/>
        </w:rPr>
      </w:pPr>
      <w:r>
        <w:rPr>
          <w:rFonts w:cs="Times New Roman" w:eastAsia="FFScala" w:asciiTheme="minorHAnsi" w:hAnsiTheme="minorHAnsi"/>
          <w:color w:val="141314"/>
        </w:rPr>
        <w:t xml:space="preserve">Die soziale Herkunft von Schülerinnen und Schülern wird üblicherweise mithilfe der </w:t>
      </w:r>
      <w:r>
        <w:rPr>
          <w:rFonts w:cs="Times New Roman" w:eastAsia="FFScala" w:asciiTheme="minorHAnsi" w:hAnsiTheme="minorHAnsi"/>
          <w:bCs/>
          <w:color w:val="141314"/>
        </w:rPr>
        <w:t xml:space="preserve">sozioökonomischen Stellung ihrer Familien</w:t>
      </w:r>
      <w:r>
        <w:rPr>
          <w:rFonts w:cs="Times New Roman" w:eastAsia="FFScala" w:asciiTheme="minorHAnsi" w:hAnsiTheme="minorHAnsi"/>
          <w:color w:val="141314"/>
        </w:rPr>
        <w:t xml:space="preserve"> bestimmt, das heißt mithilfe von Daten zur relativen </w:t>
      </w:r>
      <w:r>
        <w:rPr>
          <w:rFonts w:cs="Times New Roman" w:eastAsia="FFScala" w:asciiTheme="minorHAnsi" w:hAnsiTheme="minorHAnsi"/>
          <w:bCs/>
          <w:color w:val="141314"/>
        </w:rPr>
        <w:t xml:space="preserve">Position</w:t>
      </w:r>
      <w:r>
        <w:rPr>
          <w:rFonts w:cs="Times New Roman" w:eastAsia="FFScala" w:asciiTheme="minorHAnsi" w:hAnsiTheme="minorHAnsi"/>
          <w:color w:val="141314"/>
        </w:rPr>
        <w:t xml:space="preserve"> ihrer Eltern in einer </w:t>
      </w:r>
      <w:r>
        <w:rPr>
          <w:rFonts w:cs="Times New Roman" w:eastAsia="FFScala" w:asciiTheme="minorHAnsi" w:hAnsiTheme="minorHAnsi"/>
          <w:bCs/>
          <w:color w:val="141314"/>
        </w:rPr>
        <w:t xml:space="preserve">sozialen Hierarchie</w:t>
      </w:r>
      <w:r>
        <w:rPr>
          <w:rFonts w:cs="Times New Roman" w:eastAsia="FFScala" w:asciiTheme="minorHAnsi" w:hAnsiTheme="minorHAnsi"/>
          <w:color w:val="141314"/>
        </w:rPr>
        <w:t xml:space="preserve">, deren Ordnungsprinzipien in der </w:t>
      </w:r>
      <w:r>
        <w:rPr>
          <w:rFonts w:cs="Times New Roman" w:eastAsia="FFScala" w:asciiTheme="minorHAnsi" w:hAnsiTheme="minorHAnsi"/>
          <w:bCs/>
          <w:color w:val="141314"/>
        </w:rPr>
        <w:t xml:space="preserve">Verfügung über finanzielle Mittel, Macht oder Prestige</w:t>
      </w:r>
      <w:r>
        <w:rPr>
          <w:rFonts w:cs="Times New Roman" w:eastAsia="FFScala" w:asciiTheme="minorHAnsi" w:hAnsiTheme="minorHAnsi"/>
          <w:color w:val="141314"/>
        </w:rPr>
        <w:t xml:space="preserve"> bestehen. Da Informationen über Einkommensverhältnisse, Macht und soziale Anerkennung von Individuen nicht einfach zu erhalten sind, wird die sozioökonomische Stellung in aller Regel über die </w:t>
      </w:r>
      <w:r>
        <w:rPr>
          <w:rFonts w:cs="Times New Roman" w:eastAsia="FFScala" w:asciiTheme="minorHAnsi" w:hAnsiTheme="minorHAnsi"/>
          <w:bCs/>
          <w:color w:val="141314"/>
        </w:rPr>
        <w:t xml:space="preserve">Berufstätigkeit</w:t>
      </w:r>
      <w:r>
        <w:rPr>
          <w:rFonts w:cs="Times New Roman" w:eastAsia="FFScala" w:asciiTheme="minorHAnsi" w:hAnsiTheme="minorHAnsi"/>
          <w:color w:val="141314"/>
        </w:rPr>
        <w:t xml:space="preserve"> erfasst, die Hinweise auf jeden der drei Aspekte ihrer St</w:t>
      </w:r>
      <w:r>
        <w:rPr>
          <w:rFonts w:cs="Times New Roman" w:eastAsia="FFScala" w:asciiTheme="minorHAnsi" w:hAnsiTheme="minorHAnsi"/>
          <w:color w:val="141314"/>
        </w:rPr>
        <w:t xml:space="preserve">ellung in der sozialen Hierarchie geben kann. Daten zum Beruf und zur beruflichen Stellung des Vaters oder beider Eltern waren auch in der Bildungsforschung immer die wichtigsten Kriterien, mit deren Hilfe die soziale Herkunft von Schülern bestimmt wurde. </w:t>
      </w:r>
      <w:r/>
    </w:p>
    <w:p>
      <w:pPr>
        <w:jc w:val="both"/>
        <w:rPr>
          <w:rFonts w:cs="Calibri" w:eastAsia="FFScala" w:asciiTheme="minorHAnsi" w:hAnsiTheme="minorHAnsi"/>
          <w:color w:val="141314"/>
        </w:rPr>
      </w:pPr>
      <w:r>
        <w:rPr>
          <w:rFonts w:cs="Calibri" w:eastAsia="FFScala" w:asciiTheme="minorHAnsi" w:hAnsiTheme="minorHAnsi"/>
          <w:color w:val="141314"/>
        </w:rPr>
      </w:r>
      <w:r/>
    </w:p>
    <w:p>
      <w:pPr>
        <w:jc w:val="both"/>
        <w:rPr>
          <w:rFonts w:cs="Calibri" w:eastAsia="FFScala" w:asciiTheme="minorHAnsi" w:hAnsiTheme="minorHAnsi"/>
          <w:color w:val="141314"/>
        </w:rPr>
      </w:pPr>
      <w:r>
        <w:rPr>
          <w:rFonts w:cs="Calibri" w:eastAsia="FFScala" w:asciiTheme="minorHAnsi" w:hAnsiTheme="minorHAnsi"/>
          <w:color w:val="141314"/>
        </w:rPr>
        <w:t xml:space="preserve">(Baumert &amp; Maaz 2006, S. 12)</w:t>
      </w:r>
      <w:r/>
    </w:p>
    <w:p>
      <w:pPr>
        <w:rPr>
          <w:rFonts w:cs="Calibri" w:asciiTheme="minorHAnsi" w:hAnsiTheme="minorHAnsi"/>
          <w:bCs/>
          <w:i/>
        </w:rPr>
      </w:pPr>
      <w:r>
        <w:rPr>
          <w:rFonts w:cs="Calibri" w:asciiTheme="minorHAnsi" w:hAnsiTheme="minorHAnsi"/>
          <w:bCs/>
          <w:i/>
        </w:rPr>
      </w:r>
      <w:r/>
    </w:p>
    <w:p>
      <w:pPr>
        <w:rPr>
          <w:rFonts w:cs="Calibri" w:asciiTheme="minorHAnsi" w:hAnsiTheme="minorHAnsi"/>
          <w:bCs/>
          <w:i/>
        </w:rPr>
      </w:pPr>
      <w:r>
        <w:rPr>
          <w:rFonts w:cs="Calibri" w:asciiTheme="minorHAnsi" w:hAnsiTheme="minorHAnsi"/>
          <w:bCs/>
          <w:i/>
        </w:rPr>
      </w:r>
      <w:r/>
    </w:p>
    <w:p>
      <w:pPr>
        <w:jc w:val="both"/>
        <w:rPr>
          <w:rFonts w:cs="Times New Roman" w:eastAsia="FFScala" w:asciiTheme="minorHAnsi" w:hAnsiTheme="minorHAnsi"/>
          <w:color w:val="141314"/>
        </w:rPr>
      </w:pPr>
      <w:r>
        <w:rPr>
          <w:rFonts w:cs="Times New Roman" w:eastAsia="FFScala" w:asciiTheme="minorHAnsi" w:hAnsiTheme="minorHAnsi"/>
          <w:color w:val="141314"/>
        </w:rPr>
        <w:t xml:space="preserve">[…] So beeinflussen beispielsweise die vorhandenen finanziellen Ressourcen die Einschätzung, inwieweit die Kosten, die mit dem Besuch höherer Bildungswe</w:t>
      </w:r>
      <w:r>
        <w:rPr>
          <w:rFonts w:cs="Times New Roman" w:eastAsia="FFScala" w:asciiTheme="minorHAnsi" w:hAnsiTheme="minorHAnsi"/>
          <w:color w:val="141314"/>
        </w:rPr>
        <w:t xml:space="preserve">ge verbunden sind, eine Belastung darstellen oder nicht. Im allgemeinen werden diese Kosten mit ansteigendem Einkommen immer weniger ins Gewicht fallen, während der Kostenaspekt in ökonomisch schlechter gestellten Familien eine größere Rolle spielen kann. </w:t>
      </w:r>
      <w:r/>
    </w:p>
    <w:p>
      <w:pPr>
        <w:jc w:val="both"/>
        <w:rPr>
          <w:rFonts w:cs="Times New Roman" w:eastAsia="FFScala" w:asciiTheme="minorHAnsi" w:hAnsiTheme="minorHAnsi"/>
          <w:color w:val="141314"/>
        </w:rPr>
      </w:pPr>
      <w:r>
        <w:rPr>
          <w:rFonts w:cs="Times New Roman" w:eastAsia="FFScala" w:asciiTheme="minorHAnsi" w:hAnsiTheme="minorHAnsi"/>
          <w:color w:val="141314"/>
        </w:rPr>
      </w:r>
      <w:r/>
    </w:p>
    <w:p>
      <w:pPr>
        <w:jc w:val="both"/>
        <w:rPr>
          <w:rFonts w:cs="Calibri" w:eastAsia="FFScala" w:asciiTheme="minorHAnsi" w:hAnsiTheme="minorHAnsi"/>
          <w:color w:val="141314"/>
        </w:rPr>
      </w:pPr>
      <w:r>
        <w:rPr>
          <w:rFonts w:cs="Calibri" w:eastAsia="FFScala" w:asciiTheme="minorHAnsi" w:hAnsiTheme="minorHAnsi"/>
          <w:color w:val="141314"/>
        </w:rPr>
        <w:t xml:space="preserve">(Kristen &amp; Granato 2004, S. 128)</w:t>
      </w:r>
      <w:r/>
    </w:p>
    <w:p>
      <w:pPr>
        <w:jc w:val="both"/>
        <w:rPr>
          <w:rFonts w:cs="Calibri" w:eastAsia="FFScala" w:asciiTheme="minorHAnsi" w:hAnsiTheme="minorHAnsi"/>
          <w:i/>
          <w:color w:val="141314"/>
        </w:rPr>
      </w:pPr>
      <w:r>
        <w:rPr>
          <w:rFonts w:cs="Calibri" w:eastAsia="FFScala" w:asciiTheme="minorHAnsi" w:hAnsiTheme="minorHAnsi"/>
          <w:i/>
          <w:color w:val="141314"/>
        </w:rPr>
      </w:r>
      <w:r/>
    </w:p>
    <w:p>
      <w:pPr>
        <w:jc w:val="both"/>
        <w:rPr>
          <w:rFonts w:cs="Calibri" w:eastAsia="FFScala" w:asciiTheme="minorHAnsi" w:hAnsiTheme="minorHAnsi"/>
          <w:i/>
          <w:color w:val="141314"/>
        </w:rPr>
      </w:pPr>
      <w:r>
        <w:rPr>
          <w:rFonts w:cs="Calibri" w:eastAsia="FFScala" w:asciiTheme="minorHAnsi" w:hAnsiTheme="minorHAnsi"/>
          <w:i/>
          <w:color w:val="141314"/>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t xml:space="preserve">Literatur</w:t>
      </w:r>
      <w:r/>
    </w:p>
    <w:p>
      <w:pPr>
        <w:ind w:left="709" w:hanging="709"/>
        <w:jc w:val="both"/>
        <w:rPr>
          <w:rFonts w:cs="Calibri" w:eastAsia="FFScala" w:asciiTheme="minorHAnsi" w:hAnsiTheme="minorHAnsi"/>
          <w:bCs/>
          <w:color w:val="141314"/>
          <w:sz w:val="20"/>
          <w:szCs w:val="20"/>
        </w:rPr>
      </w:pPr>
      <w:r>
        <w:rPr>
          <w:rFonts w:cs="Calibri" w:eastAsia="FFScala" w:asciiTheme="minorHAnsi" w:hAnsiTheme="minorHAnsi"/>
          <w:color w:val="141314"/>
          <w:sz w:val="20"/>
          <w:szCs w:val="20"/>
        </w:rPr>
        <w:t xml:space="preserve">Baumert, J. &amp; Maaz, K. (2006). </w:t>
      </w:r>
      <w:r>
        <w:rPr>
          <w:rFonts w:cs="Calibri" w:eastAsia="FFScala" w:asciiTheme="minorHAnsi" w:hAnsiTheme="minorHAnsi"/>
          <w:bCs/>
          <w:color w:val="141314"/>
          <w:sz w:val="20"/>
          <w:szCs w:val="20"/>
        </w:rPr>
        <w:t xml:space="preserve">Das theoretische und methodische Konzept von PISA zur Erfassung sozialer und kultureller Ressourcen der Herkunftsfamilie: Internationale und nationale Rahmenkonzeption. In: Baumert</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J.,</w:t>
      </w:r>
      <w:r>
        <w:rPr>
          <w:rFonts w:cs="Calibri" w:eastAsia="FFScala" w:asciiTheme="minorHAnsi" w:hAnsiTheme="minorHAnsi"/>
          <w:bCs/>
          <w:color w:val="141314"/>
          <w:sz w:val="20"/>
          <w:szCs w:val="20"/>
        </w:rPr>
        <w:t xml:space="preserve"> Stanat</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P. </w:t>
      </w:r>
      <w:r>
        <w:rPr>
          <w:rFonts w:cs="Calibri" w:eastAsia="FFScala" w:asciiTheme="minorHAnsi" w:hAnsiTheme="minorHAnsi"/>
          <w:bCs/>
          <w:color w:val="141314"/>
          <w:sz w:val="20"/>
          <w:szCs w:val="20"/>
        </w:rPr>
        <w:t xml:space="preserve">&amp; Watermann</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R.</w:t>
      </w:r>
      <w:r>
        <w:rPr>
          <w:rFonts w:cs="Calibri" w:eastAsia="FFScala" w:asciiTheme="minorHAnsi" w:hAnsiTheme="minorHAnsi"/>
          <w:bCs/>
          <w:color w:val="141314"/>
          <w:sz w:val="20"/>
          <w:szCs w:val="20"/>
        </w:rPr>
        <w:t xml:space="preserve"> (Hrsg.).</w:t>
      </w:r>
      <w:r>
        <w:rPr>
          <w:rFonts w:cs="Calibri" w:eastAsia="FFScala" w:asciiTheme="minorHAnsi" w:hAnsiTheme="minorHAnsi"/>
          <w:bCs/>
          <w:color w:val="141314"/>
          <w:sz w:val="20"/>
          <w:szCs w:val="20"/>
        </w:rPr>
        <w:t xml:space="preserve"> </w:t>
      </w:r>
      <w:r>
        <w:rPr>
          <w:rFonts w:cs="Calibri" w:eastAsia="FFScala" w:asciiTheme="minorHAnsi" w:hAnsiTheme="minorHAnsi"/>
          <w:bCs/>
          <w:i/>
          <w:color w:val="141314"/>
          <w:sz w:val="20"/>
          <w:szCs w:val="20"/>
        </w:rPr>
        <w:t xml:space="preserve">Herkunftsbedingte Disparitäten im Bildungswesen. Differenzielle Bildungsprozesse und Probleme der Verteilungsgerechtigkeit. Vertiefende Analysen im Rahmen von PISA 2000.</w:t>
      </w:r>
      <w:r>
        <w:rPr>
          <w:rFonts w:cs="Calibri" w:eastAsia="FFScala" w:asciiTheme="minorHAnsi" w:hAnsiTheme="minorHAnsi"/>
          <w:bCs/>
          <w:color w:val="141314"/>
          <w:sz w:val="20"/>
          <w:szCs w:val="20"/>
        </w:rPr>
        <w:t xml:space="preserve"> Wiesbaden: VS Verlag für Sozialwissenschaften. S. 11-30. </w:t>
      </w:r>
      <w:r/>
    </w:p>
    <w:p>
      <w:pPr>
        <w:ind w:left="709" w:hanging="709"/>
        <w:jc w:val="both"/>
        <w:rPr>
          <w:rFonts w:cs="Calibri" w:eastAsia="FFScala" w:asciiTheme="minorHAnsi" w:hAnsiTheme="minorHAnsi"/>
          <w:b/>
          <w:bCs/>
          <w:color w:val="141314"/>
          <w:sz w:val="20"/>
          <w:szCs w:val="20"/>
        </w:rPr>
      </w:pPr>
      <w:r>
        <w:rPr>
          <w:rFonts w:cs="Calibri" w:eastAsia="FFScala" w:asciiTheme="minorHAnsi" w:hAnsiTheme="minorHAnsi"/>
          <w:b/>
          <w:bCs/>
          <w:color w:val="141314"/>
          <w:sz w:val="20"/>
          <w:szCs w:val="20"/>
        </w:rPr>
      </w:r>
      <w:r/>
    </w:p>
    <w:p>
      <w:pPr>
        <w:ind w:left="709" w:hanging="709"/>
        <w:jc w:val="both"/>
        <w:rPr>
          <w:rFonts w:cs="Calibri" w:eastAsia="FFScala" w:asciiTheme="minorHAnsi" w:hAnsiTheme="minorHAnsi"/>
          <w:color w:val="141314"/>
          <w:sz w:val="20"/>
          <w:szCs w:val="20"/>
        </w:rPr>
      </w:pPr>
      <w:r>
        <w:rPr>
          <w:rFonts w:cs="Calibri" w:eastAsia="FFScala" w:asciiTheme="minorHAnsi" w:hAnsiTheme="minorHAnsi"/>
          <w:color w:val="141314"/>
          <w:sz w:val="20"/>
          <w:szCs w:val="20"/>
        </w:rPr>
        <w:t xml:space="preserve">Kristen, C. &amp; Granato, N. (2004). Bildungsinvestitionen in Migrantenfamilien. In: IMIS-Beiträge. </w:t>
      </w:r>
      <w:r>
        <w:rPr>
          <w:rFonts w:cs="Calibri" w:eastAsia="FFScala" w:asciiTheme="minorHAnsi" w:hAnsiTheme="minorHAnsi"/>
          <w:i/>
          <w:color w:val="141314"/>
          <w:sz w:val="20"/>
          <w:szCs w:val="20"/>
        </w:rPr>
        <w:t xml:space="preserve">Themenheft: Migration – Integration – Bildung. Grundfragen und Problembereiche</w:t>
      </w:r>
      <w:r>
        <w:rPr>
          <w:rFonts w:cs="Calibri" w:eastAsia="FFScala" w:asciiTheme="minorHAnsi" w:hAnsiTheme="minorHAnsi"/>
          <w:color w:val="141314"/>
          <w:sz w:val="20"/>
          <w:szCs w:val="20"/>
        </w:rPr>
        <w:t xml:space="preserve">. S. 123-141. </w:t>
      </w:r>
      <w:r>
        <w:rPr>
          <w:rFonts w:cs="Calibri" w:eastAsia="FFScala" w:asciiTheme="minorHAnsi" w:hAnsiTheme="minorHAnsi"/>
          <w:color w:val="141314"/>
          <w:sz w:val="20"/>
          <w:szCs w:val="20"/>
        </w:rPr>
        <w:br w:type="page"/>
      </w:r>
      <w:r/>
    </w:p>
    <w:p>
      <w:pPr>
        <w:rPr>
          <w:rFonts w:cs="Calibri" w:asciiTheme="minorHAnsi" w:hAnsiTheme="minorHAnsi"/>
          <w:b/>
          <w:bCs/>
          <w:sz w:val="28"/>
          <w:szCs w:val="28"/>
        </w:rPr>
      </w:pPr>
      <w:r>
        <w:rPr>
          <w:rFonts w:cs="Calibri" w:asciiTheme="minorHAnsi" w:hAnsiTheme="minorHAnsi"/>
          <w:b/>
          <w:bCs/>
          <w:sz w:val="28"/>
          <w:szCs w:val="28"/>
        </w:rPr>
        <w:t xml:space="preserve">Sozioökonomische Stellung </w:t>
      </w:r>
      <w:r/>
    </w:p>
    <w:p>
      <w:pPr>
        <w:rPr>
          <w:rFonts w:cs="Calibri" w:asciiTheme="minorHAnsi" w:hAnsiTheme="minorHAnsi"/>
          <w:b/>
          <w:bCs/>
          <w:sz w:val="28"/>
          <w:szCs w:val="28"/>
        </w:rPr>
      </w:pPr>
      <w:r>
        <w:rPr>
          <w:rFonts w:cs="Calibri" w:asciiTheme="minorHAnsi" w:hAnsiTheme="minorHAnsi"/>
          <w:b/>
          <w:bCs/>
          <w:sz w:val="28"/>
          <w:szCs w:val="28"/>
        </w:rPr>
      </w:r>
      <w:r/>
    </w:p>
    <w:p>
      <w:pPr>
        <w:rPr>
          <w:rFonts w:cs="Calibri" w:asciiTheme="minorHAnsi" w:hAnsiTheme="minorHAnsi"/>
          <w:b/>
          <w:bCs/>
        </w:rPr>
      </w:pPr>
      <w:r>
        <w:rPr>
          <w:rFonts w:cs="Calibri" w:asciiTheme="minorHAnsi" w:hAnsiTheme="minorHAnsi"/>
          <w:b/>
          <w:bCs/>
        </w:rPr>
        <w:t xml:space="preserve">Kulturelles Kapital</w:t>
      </w:r>
      <w:r/>
    </w:p>
    <w:p>
      <w:pPr>
        <w:rPr>
          <w:rFonts w:cs="Calibri" w:asciiTheme="minorHAnsi" w:hAnsiTheme="minorHAnsi"/>
          <w:b/>
          <w:bCs/>
        </w:rPr>
      </w:pPr>
      <w:r>
        <w:rPr>
          <w:rFonts w:cs="Calibri" w:asciiTheme="minorHAnsi" w:hAnsiTheme="minorHAnsi"/>
          <w:b/>
          <w:bCs/>
        </w:rPr>
      </w:r>
      <w:r/>
    </w:p>
    <w:p>
      <w:pPr>
        <w:jc w:val="both"/>
        <w:rPr>
          <w:rFonts w:cs="Times New Roman" w:asciiTheme="minorHAnsi" w:hAnsiTheme="minorHAnsi"/>
        </w:rPr>
      </w:pPr>
      <w:r>
        <w:rPr>
          <w:rFonts w:cs="Times New Roman" w:asciiTheme="minorHAnsi" w:hAnsiTheme="minorHAnsi"/>
        </w:rPr>
        <w:t xml:space="preserve">Bourdieu und Passeron haben schon in den 1960er Jahren die Aufmerksam</w:t>
      </w:r>
      <w:r>
        <w:rPr>
          <w:rFonts w:cs="Times New Roman" w:asciiTheme="minorHAnsi" w:hAnsiTheme="minorHAnsi"/>
        </w:rPr>
        <w:t xml:space="preserve">keit darauf gelenkt, wie eng der Bildungserfolg der Heranwachsenden mit ihrer Teilhabe an der herrschenden Kultur zusammenhängt, die – als bürgerliche Kultur – keineswegs unabhängig von den gegebenen sozialen Strukturen ist (Bourdieu &amp; Passeron 1971). […]</w:t>
      </w:r>
      <w:r/>
    </w:p>
    <w:p>
      <w:pPr>
        <w:jc w:val="both"/>
        <w:rPr>
          <w:rFonts w:cs="Times New Roman" w:asciiTheme="minorHAnsi" w:hAnsiTheme="minorHAnsi"/>
        </w:rPr>
      </w:pPr>
      <w:r>
        <w:rPr>
          <w:rFonts w:cs="Times New Roman" w:asciiTheme="minorHAnsi" w:hAnsiTheme="minorHAnsi"/>
        </w:rPr>
      </w:r>
      <w:r/>
    </w:p>
    <w:p>
      <w:pPr>
        <w:jc w:val="both"/>
        <w:rPr>
          <w:rFonts w:cs="Times New Roman" w:asciiTheme="minorHAnsi" w:hAnsiTheme="minorHAnsi"/>
        </w:rPr>
      </w:pPr>
      <w:r>
        <w:rPr>
          <w:rFonts w:cs="Times New Roman" w:asciiTheme="minorHAnsi" w:hAnsiTheme="minorHAnsi"/>
        </w:rPr>
        <w:t xml:space="preserve">Bourdieu zufolge sind unter kulturellem Kapital </w:t>
      </w:r>
      <w:r>
        <w:rPr>
          <w:rFonts w:cs="Times New Roman" w:asciiTheme="minorHAnsi" w:hAnsiTheme="minorHAnsi"/>
          <w:bCs/>
        </w:rPr>
        <w:t xml:space="preserve">alle Kulturgüter und kulturellen Ressourcen</w:t>
      </w:r>
      <w:r>
        <w:rPr>
          <w:rFonts w:cs="Times New Roman" w:asciiTheme="minorHAnsi" w:hAnsiTheme="minorHAnsi"/>
        </w:rPr>
        <w:t xml:space="preserve"> zu verstehen, die – als symbolische Machtmittel</w:t>
      </w:r>
      <w:r>
        <w:rPr>
          <w:rFonts w:cs="Times New Roman" w:asciiTheme="minorHAnsi" w:hAnsiTheme="minorHAnsi"/>
        </w:rPr>
        <w:t xml:space="preserve"> – dazu beitragen, dass in einem sozialen System die Qualifikationen, Einstellungen und Wertorientierungen vermittelt werden, die das System zu seiner Bestandserhaltung braucht. Bei Kulturgütern und kulturellen Ressourcen handelt es sich keineswegs nur um </w:t>
      </w:r>
      <w:r>
        <w:rPr>
          <w:rFonts w:cs="Times New Roman" w:asciiTheme="minorHAnsi" w:hAnsiTheme="minorHAnsi"/>
          <w:bCs/>
        </w:rPr>
        <w:t xml:space="preserve">Sachgüter wie Kunstwerke oder Literatur</w:t>
      </w:r>
      <w:r>
        <w:rPr>
          <w:rFonts w:cs="Times New Roman" w:asciiTheme="minorHAnsi" w:hAnsiTheme="minorHAnsi"/>
        </w:rPr>
        <w:t xml:space="preserve">, sondern auch um </w:t>
      </w:r>
      <w:r>
        <w:rPr>
          <w:rFonts w:cs="Times New Roman" w:asciiTheme="minorHAnsi" w:hAnsiTheme="minorHAnsi"/>
          <w:bCs/>
        </w:rPr>
        <w:t xml:space="preserve">institutionalisierte Formen potenzieller Macht wie zum Beispiel Bildungszertifikate oder Titel</w:t>
      </w:r>
      <w:r>
        <w:rPr>
          <w:rFonts w:cs="Times New Roman" w:asciiTheme="minorHAnsi" w:hAnsiTheme="minorHAnsi"/>
        </w:rPr>
        <w:t xml:space="preserve">. Insbesondere gehören zu den kulturellen Ressourcen die </w:t>
      </w:r>
      <w:r>
        <w:rPr>
          <w:rFonts w:cs="Times New Roman" w:asciiTheme="minorHAnsi" w:hAnsiTheme="minorHAnsi"/>
          <w:bCs/>
        </w:rPr>
        <w:t xml:space="preserve">Wahrnehmungs-, Denk- und Handlungsschemata</w:t>
      </w:r>
      <w:r>
        <w:rPr>
          <w:rFonts w:cs="Times New Roman" w:asciiTheme="minorHAnsi" w:hAnsiTheme="minorHAnsi"/>
        </w:rPr>
        <w:t xml:space="preserve">, die eine </w:t>
      </w:r>
      <w:r>
        <w:rPr>
          <w:rFonts w:cs="Times New Roman" w:asciiTheme="minorHAnsi" w:hAnsiTheme="minorHAnsi"/>
        </w:rPr>
        <w:t xml:space="preserve">Person verinnerlicht hat. Das System von Regeln, das zur Ausbildung dieser Wahrnehmungs-, Deutungs- und Handlungsmuster führt, wird von Bourdieu und Passeron als Habitus bezeichnet. Nach Bourdieu kann kulturelles Kapital in drei Formen existieren: (1) als </w:t>
      </w:r>
      <w:r>
        <w:rPr>
          <w:rFonts w:cs="Times New Roman" w:asciiTheme="minorHAnsi" w:hAnsiTheme="minorHAnsi"/>
          <w:bCs/>
        </w:rPr>
        <w:t xml:space="preserve">inkorporiertes</w:t>
      </w:r>
      <w:r>
        <w:rPr>
          <w:rFonts w:cs="Times New Roman" w:asciiTheme="minorHAnsi" w:hAnsiTheme="minorHAnsi"/>
        </w:rPr>
        <w:t xml:space="preserve"> (verinnerlichtes) Kapital, (2) </w:t>
      </w:r>
      <w:r>
        <w:rPr>
          <w:rFonts w:cs="Times New Roman" w:asciiTheme="minorHAnsi" w:hAnsiTheme="minorHAnsi"/>
          <w:bCs/>
        </w:rPr>
        <w:t xml:space="preserve">objektiviertes</w:t>
      </w:r>
      <w:r>
        <w:rPr>
          <w:rFonts w:cs="Times New Roman" w:asciiTheme="minorHAnsi" w:hAnsiTheme="minorHAnsi"/>
        </w:rPr>
        <w:t xml:space="preserve"> Kapital in Form von </w:t>
      </w:r>
      <w:r>
        <w:rPr>
          <w:rFonts w:cs="Times New Roman" w:asciiTheme="minorHAnsi" w:hAnsiTheme="minorHAnsi"/>
          <w:bCs/>
        </w:rPr>
        <w:t xml:space="preserve">Besitz kultureller Güter</w:t>
      </w:r>
      <w:r>
        <w:rPr>
          <w:rFonts w:cs="Times New Roman" w:asciiTheme="minorHAnsi" w:hAnsiTheme="minorHAnsi"/>
        </w:rPr>
        <w:t xml:space="preserve"> wie Bilder, Bü</w:t>
      </w:r>
      <w:r>
        <w:rPr>
          <w:rFonts w:cs="Times New Roman" w:asciiTheme="minorHAnsi" w:hAnsiTheme="minorHAnsi"/>
        </w:rPr>
        <w:t xml:space="preserve">cher oder Instrumente und (3) als </w:t>
      </w:r>
      <w:r>
        <w:rPr>
          <w:rFonts w:cs="Times New Roman" w:asciiTheme="minorHAnsi" w:hAnsiTheme="minorHAnsi"/>
          <w:bCs/>
        </w:rPr>
        <w:t xml:space="preserve">institutionalisiertes</w:t>
      </w:r>
      <w:r>
        <w:rPr>
          <w:rFonts w:cs="Times New Roman" w:asciiTheme="minorHAnsi" w:hAnsiTheme="minorHAnsi"/>
        </w:rPr>
        <w:t xml:space="preserve"> Kapital zum Beispiel in Form von </w:t>
      </w:r>
      <w:r>
        <w:rPr>
          <w:rFonts w:cs="Times New Roman" w:asciiTheme="minorHAnsi" w:hAnsiTheme="minorHAnsi"/>
          <w:bCs/>
        </w:rPr>
        <w:t xml:space="preserve">schulischen Zertifikaten</w:t>
      </w:r>
      <w:r>
        <w:rPr>
          <w:rFonts w:cs="Times New Roman" w:asciiTheme="minorHAnsi" w:hAnsiTheme="minorHAnsi"/>
        </w:rPr>
        <w:t xml:space="preserve"> (vgl. Bourdieu 1983). […]</w:t>
      </w:r>
      <w:r/>
    </w:p>
    <w:p>
      <w:pPr>
        <w:jc w:val="both"/>
        <w:rPr>
          <w:rFonts w:cs="Times New Roman" w:asciiTheme="minorHAnsi" w:hAnsiTheme="minorHAnsi"/>
        </w:rPr>
      </w:pPr>
      <w:r>
        <w:rPr>
          <w:rFonts w:cs="Times New Roman" w:asciiTheme="minorHAnsi" w:hAnsiTheme="minorHAnsi"/>
        </w:rPr>
      </w:r>
      <w:r/>
    </w:p>
    <w:p>
      <w:pPr>
        <w:jc w:val="both"/>
        <w:rPr>
          <w:rFonts w:cs="Times New Roman" w:eastAsia="FFScala" w:asciiTheme="minorHAnsi" w:hAnsiTheme="minorHAnsi"/>
          <w:color w:val="141314"/>
        </w:rPr>
      </w:pPr>
      <w:r>
        <w:rPr>
          <w:rFonts w:cs="Times New Roman" w:eastAsia="FFScala" w:asciiTheme="minorHAnsi" w:hAnsiTheme="minorHAnsi"/>
          <w:color w:val="141314"/>
        </w:rPr>
        <w:t xml:space="preserve">Nach Bourdieu ist die Schule eine Mittelschichtinstitution, die einen Habitus verlangt und honoriert, wie er im Normalfall in Mittelschichtfamilien ausgebildet wird […]. Zu diesem Habitus gehören </w:t>
      </w:r>
      <w:r>
        <w:rPr>
          <w:rFonts w:cs="Times New Roman" w:eastAsia="FFScala" w:asciiTheme="minorHAnsi" w:hAnsiTheme="minorHAnsi"/>
          <w:bCs/>
          <w:color w:val="141314"/>
        </w:rPr>
        <w:t xml:space="preserve">schulrelevante Kenntnisse und Interessen</w:t>
      </w:r>
      <w:r>
        <w:rPr>
          <w:rFonts w:cs="Times New Roman" w:eastAsia="FFScala" w:asciiTheme="minorHAnsi" w:hAnsiTheme="minorHAnsi"/>
          <w:color w:val="141314"/>
        </w:rPr>
        <w:t xml:space="preserve">, wie sie im Rahmen gemeinsamer Aktivitäten von Eltern und Kindern oder durch das elterliche Vorbild vermittelt werden. </w:t>
      </w:r>
      <w:r/>
    </w:p>
    <w:p>
      <w:pPr>
        <w:jc w:val="both"/>
        <w:rPr>
          <w:rFonts w:cs="Calibri" w:eastAsia="FFScala" w:asciiTheme="minorHAnsi" w:hAnsiTheme="minorHAnsi"/>
          <w:color w:val="141314"/>
        </w:rPr>
      </w:pPr>
      <w:r>
        <w:rPr>
          <w:rFonts w:cs="Calibri" w:eastAsia="FFScala" w:asciiTheme="minorHAnsi" w:hAnsiTheme="minorHAnsi"/>
          <w:color w:val="141314"/>
        </w:rPr>
      </w:r>
      <w:r/>
    </w:p>
    <w:p>
      <w:pPr>
        <w:jc w:val="both"/>
        <w:rPr>
          <w:rFonts w:cs="Calibri" w:eastAsia="FFScala" w:asciiTheme="minorHAnsi" w:hAnsiTheme="minorHAnsi"/>
          <w:color w:val="141314"/>
        </w:rPr>
      </w:pPr>
      <w:r>
        <w:rPr>
          <w:rFonts w:cs="Calibri" w:eastAsia="FFScala" w:asciiTheme="minorHAnsi" w:hAnsiTheme="minorHAnsi"/>
          <w:color w:val="141314"/>
        </w:rPr>
        <w:t xml:space="preserve">(Baumert &amp; Maaz 2006, S. 21-22)</w:t>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b/>
          <w:bCs/>
          <w:color w:val="141314"/>
        </w:rPr>
      </w:pPr>
      <w:r>
        <w:rPr>
          <w:rFonts w:cs="Calibri" w:eastAsia="FFScala" w:asciiTheme="minorHAnsi" w:hAnsiTheme="minorHAnsi"/>
          <w:b/>
          <w:bCs/>
          <w:color w:val="141314"/>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t xml:space="preserve">Literatur</w:t>
      </w:r>
      <w:r/>
    </w:p>
    <w:p>
      <w:pPr>
        <w:ind w:left="709" w:hanging="709"/>
        <w:jc w:val="both"/>
        <w:rPr>
          <w:rFonts w:cs="Calibri" w:eastAsia="FFScala" w:asciiTheme="minorHAnsi" w:hAnsiTheme="minorHAnsi"/>
          <w:bCs/>
          <w:color w:val="141314"/>
          <w:sz w:val="20"/>
          <w:szCs w:val="20"/>
        </w:rPr>
      </w:pPr>
      <w:r>
        <w:rPr>
          <w:rFonts w:cs="Calibri" w:eastAsia="FFScala" w:asciiTheme="minorHAnsi" w:hAnsiTheme="minorHAnsi"/>
          <w:color w:val="141314"/>
          <w:sz w:val="20"/>
          <w:szCs w:val="20"/>
        </w:rPr>
        <w:t xml:space="preserve">Baumert, J. &amp; Maaz, K. (2006). </w:t>
      </w:r>
      <w:r>
        <w:rPr>
          <w:rFonts w:cs="Calibri" w:eastAsia="FFScala" w:asciiTheme="minorHAnsi" w:hAnsiTheme="minorHAnsi"/>
          <w:bCs/>
          <w:color w:val="141314"/>
          <w:sz w:val="20"/>
          <w:szCs w:val="20"/>
        </w:rPr>
        <w:t xml:space="preserve">Das theoretische und methodische Konzept von PISA zur Erfassung sozialer und kultureller Ressourcen der Herkunftsfamilie: Internationale und nationale Rahmenkonzeption. In: Baumert</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J.,</w:t>
      </w:r>
      <w:r>
        <w:rPr>
          <w:rFonts w:cs="Calibri" w:eastAsia="FFScala" w:asciiTheme="minorHAnsi" w:hAnsiTheme="minorHAnsi"/>
          <w:bCs/>
          <w:color w:val="141314"/>
          <w:sz w:val="20"/>
          <w:szCs w:val="20"/>
        </w:rPr>
        <w:t xml:space="preserve"> Stanat</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P. </w:t>
      </w:r>
      <w:r>
        <w:rPr>
          <w:rFonts w:cs="Calibri" w:eastAsia="FFScala" w:asciiTheme="minorHAnsi" w:hAnsiTheme="minorHAnsi"/>
          <w:bCs/>
          <w:color w:val="141314"/>
          <w:sz w:val="20"/>
          <w:szCs w:val="20"/>
        </w:rPr>
        <w:t xml:space="preserve">&amp; Watermann</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R.</w:t>
      </w:r>
      <w:r>
        <w:rPr>
          <w:rFonts w:cs="Calibri" w:eastAsia="FFScala" w:asciiTheme="minorHAnsi" w:hAnsiTheme="minorHAnsi"/>
          <w:bCs/>
          <w:color w:val="141314"/>
          <w:sz w:val="20"/>
          <w:szCs w:val="20"/>
        </w:rPr>
        <w:t xml:space="preserve"> (Hrsg.) (2000).</w:t>
      </w:r>
      <w:r>
        <w:rPr>
          <w:rFonts w:cs="Calibri" w:eastAsia="FFScala" w:asciiTheme="minorHAnsi" w:hAnsiTheme="minorHAnsi"/>
          <w:bCs/>
          <w:color w:val="141314"/>
          <w:sz w:val="20"/>
          <w:szCs w:val="20"/>
        </w:rPr>
        <w:t xml:space="preserve"> </w:t>
      </w:r>
      <w:r>
        <w:rPr>
          <w:rFonts w:cs="Calibri" w:eastAsia="FFScala" w:asciiTheme="minorHAnsi" w:hAnsiTheme="minorHAnsi"/>
          <w:bCs/>
          <w:i/>
          <w:color w:val="141314"/>
          <w:sz w:val="20"/>
          <w:szCs w:val="20"/>
        </w:rPr>
        <w:t xml:space="preserve">Herkunftsbedingte Disparitäten im Bildungswesen. Differenzielle Bildungsprozesse und Probleme der Verteilungsgerechtigkeit. Vertiefende Analysen im Rahmen von PISA 2000.</w:t>
      </w:r>
      <w:r>
        <w:rPr>
          <w:rFonts w:cs="Calibri" w:eastAsia="FFScala" w:asciiTheme="minorHAnsi" w:hAnsiTheme="minorHAnsi"/>
          <w:bCs/>
          <w:color w:val="141314"/>
          <w:sz w:val="20"/>
          <w:szCs w:val="20"/>
        </w:rPr>
        <w:t xml:space="preserve"> Wiesbaden: VS Verlag für Sozialwissenschaften. S. 11-30. </w:t>
      </w:r>
      <w:r>
        <w:rPr>
          <w:rFonts w:cs="Calibri" w:eastAsia="FFScala" w:asciiTheme="minorHAnsi" w:hAnsiTheme="minorHAnsi"/>
          <w:bCs/>
          <w:color w:val="141314"/>
          <w:sz w:val="20"/>
          <w:szCs w:val="20"/>
        </w:rPr>
        <w:br w:type="page"/>
      </w:r>
      <w:r/>
    </w:p>
    <w:p>
      <w:pPr>
        <w:rPr>
          <w:rFonts w:cs="Calibri" w:asciiTheme="minorHAnsi" w:hAnsiTheme="minorHAnsi"/>
          <w:b/>
          <w:bCs/>
          <w:sz w:val="28"/>
          <w:szCs w:val="28"/>
        </w:rPr>
      </w:pPr>
      <w:r>
        <w:rPr>
          <w:rFonts w:cs="Calibri" w:asciiTheme="minorHAnsi" w:hAnsiTheme="minorHAnsi"/>
          <w:b/>
          <w:bCs/>
          <w:sz w:val="28"/>
          <w:szCs w:val="28"/>
        </w:rPr>
        <w:t xml:space="preserve">Sozioökonomische Stellung </w:t>
      </w:r>
      <w:r/>
    </w:p>
    <w:p>
      <w:pPr>
        <w:rPr>
          <w:rFonts w:cs="Calibri" w:asciiTheme="minorHAnsi" w:hAnsiTheme="minorHAnsi"/>
          <w:b/>
          <w:bCs/>
          <w:sz w:val="28"/>
          <w:szCs w:val="28"/>
        </w:rPr>
      </w:pPr>
      <w:r>
        <w:rPr>
          <w:rFonts w:cs="Calibri" w:asciiTheme="minorHAnsi" w:hAnsiTheme="minorHAnsi"/>
          <w:b/>
          <w:bCs/>
          <w:sz w:val="28"/>
          <w:szCs w:val="28"/>
        </w:rPr>
      </w:r>
      <w:r/>
    </w:p>
    <w:p>
      <w:pPr>
        <w:rPr>
          <w:rFonts w:cs="Calibri" w:asciiTheme="minorHAnsi" w:hAnsiTheme="minorHAnsi"/>
          <w:b/>
          <w:bCs/>
        </w:rPr>
      </w:pPr>
      <w:r>
        <w:rPr>
          <w:rFonts w:cs="Calibri" w:asciiTheme="minorHAnsi" w:hAnsiTheme="minorHAnsi"/>
          <w:b/>
          <w:bCs/>
        </w:rPr>
        <w:t xml:space="preserve">Soziales Kapital</w:t>
      </w:r>
      <w:r/>
    </w:p>
    <w:p>
      <w:pPr>
        <w:rPr>
          <w:rFonts w:cs="Calibri" w:asciiTheme="minorHAnsi" w:hAnsiTheme="minorHAnsi"/>
          <w:b/>
          <w:bCs/>
        </w:rPr>
      </w:pPr>
      <w:r>
        <w:rPr>
          <w:rFonts w:cs="Calibri" w:asciiTheme="minorHAnsi" w:hAnsiTheme="minorHAnsi"/>
          <w:b/>
          <w:bCs/>
        </w:rPr>
      </w:r>
      <w:r/>
    </w:p>
    <w:p>
      <w:pPr>
        <w:jc w:val="both"/>
        <w:rPr>
          <w:rFonts w:cs="Times New Roman" w:eastAsia="FFScala" w:asciiTheme="minorHAnsi" w:hAnsiTheme="minorHAnsi"/>
          <w:color w:val="141314"/>
        </w:rPr>
      </w:pPr>
      <w:r>
        <w:rPr>
          <w:rFonts w:cs="Times New Roman" w:eastAsia="FFScala" w:asciiTheme="minorHAnsi" w:hAnsiTheme="minorHAnsi"/>
          <w:color w:val="141314"/>
        </w:rPr>
        <w:t xml:space="preserve">Coleman und seine Mitarbeiter haben den Begriff „soziales Kapital“ im Rahmen der Analyse der berühmten US-amerikanischen Längsschnittstudie </w:t>
      </w:r>
      <w:r>
        <w:rPr>
          <w:rFonts w:cs="Times New Roman" w:eastAsia="FFScala-Italic" w:asciiTheme="minorHAnsi" w:hAnsiTheme="minorHAnsi"/>
          <w:i/>
          <w:iCs/>
          <w:color w:val="141314"/>
        </w:rPr>
        <w:t xml:space="preserve">Highschool and Beyond </w:t>
      </w:r>
      <w:r>
        <w:rPr>
          <w:rFonts w:cs="Times New Roman" w:eastAsia="FFScala" w:asciiTheme="minorHAnsi" w:hAnsiTheme="minorHAnsi"/>
          <w:color w:val="141314"/>
        </w:rPr>
        <w:t xml:space="preserve">entwickelt (Coleman et al. 1982), die gezei</w:t>
      </w:r>
      <w:r>
        <w:rPr>
          <w:rFonts w:cs="Times New Roman" w:eastAsia="FFScala" w:asciiTheme="minorHAnsi" w:hAnsiTheme="minorHAnsi"/>
          <w:color w:val="141314"/>
        </w:rPr>
        <w:t xml:space="preserve">gt hat, dass Schülerinnen und Schüler, die katholische Privatschulen besuchen, vergleichbaren Schülerinnen und Schülern öffentlicher Schulen in ihren Schulleistungen überlegen sind. Die Autoren führen den Leistungsvorsprung der Privatschülerinnen und -schü</w:t>
      </w:r>
      <w:r>
        <w:rPr>
          <w:rFonts w:cs="Times New Roman" w:eastAsia="FFScala" w:asciiTheme="minorHAnsi" w:hAnsiTheme="minorHAnsi"/>
          <w:color w:val="141314"/>
        </w:rPr>
        <w:t xml:space="preserve">ler darauf zurück, dass diese über ein höheres Maß an sozialem Kapital verfügen als die Schülerinnen und Schüler öffentlicher Schulen. Das heißt unter anderem, dass sie seltener als jene aus strukturell oder funktional beeinträchtigten Familien kommen und </w:t>
      </w:r>
      <w:r>
        <w:rPr>
          <w:rFonts w:cs="Times New Roman" w:eastAsia="FFScala" w:asciiTheme="minorHAnsi" w:hAnsiTheme="minorHAnsi"/>
          <w:bCs/>
          <w:color w:val="141314"/>
        </w:rPr>
        <w:t xml:space="preserve">ihre Eltern mit den Eltern ihrer Mitschüler und mit den Lehrkräften der Schule in sozialen Beziehungen stehen</w:t>
      </w:r>
      <w:r>
        <w:rPr>
          <w:rFonts w:cs="Times New Roman" w:eastAsia="FFScala" w:asciiTheme="minorHAnsi" w:hAnsiTheme="minorHAnsi"/>
          <w:color w:val="141314"/>
        </w:rPr>
        <w:t xml:space="preserve">, die zum</w:t>
      </w:r>
      <w:r>
        <w:rPr>
          <w:rFonts w:cs="Times New Roman" w:eastAsia="FFScala" w:asciiTheme="minorHAnsi" w:hAnsiTheme="minorHAnsi"/>
          <w:color w:val="141314"/>
        </w:rPr>
        <w:t xml:space="preserve"> </w:t>
      </w:r>
      <w:r>
        <w:rPr>
          <w:rFonts w:cs="Times New Roman" w:eastAsia="FFScala" w:asciiTheme="minorHAnsi" w:hAnsiTheme="minorHAnsi"/>
          <w:color w:val="141314"/>
        </w:rPr>
        <w:t xml:space="preserve">Fortbestand der schulischen und kirchlichen Normen beitragen.</w:t>
      </w:r>
      <w:r/>
    </w:p>
    <w:p>
      <w:pPr>
        <w:jc w:val="both"/>
        <w:rPr>
          <w:rFonts w:cs="Times New Roman" w:eastAsia="FFScala" w:asciiTheme="minorHAnsi" w:hAnsiTheme="minorHAnsi"/>
          <w:color w:val="141314"/>
        </w:rPr>
      </w:pPr>
      <w:r>
        <w:rPr>
          <w:rFonts w:cs="Times New Roman" w:eastAsia="FFScala" w:asciiTheme="minorHAnsi" w:hAnsiTheme="minorHAnsi"/>
          <w:color w:val="141314"/>
        </w:rPr>
      </w:r>
      <w:r/>
    </w:p>
    <w:p>
      <w:pPr>
        <w:jc w:val="both"/>
        <w:rPr>
          <w:rFonts w:cs="Times New Roman" w:eastAsia="FFScala" w:asciiTheme="minorHAnsi" w:hAnsiTheme="minorHAnsi"/>
          <w:color w:val="141314"/>
        </w:rPr>
      </w:pPr>
      <w:r>
        <w:rPr>
          <w:rFonts w:cs="Times New Roman" w:eastAsia="FFScala" w:asciiTheme="minorHAnsi" w:hAnsiTheme="minorHAnsi"/>
          <w:color w:val="141314"/>
        </w:rPr>
        <w:t xml:space="preserve">In nachfolgenden Arbeiten hat Coleman immer wieder darauf hingewiesen, wel</w:t>
      </w:r>
      <w:r>
        <w:rPr>
          <w:rFonts w:cs="Times New Roman" w:eastAsia="FFScala" w:asciiTheme="minorHAnsi" w:hAnsiTheme="minorHAnsi"/>
          <w:color w:val="141314"/>
        </w:rPr>
        <w:t xml:space="preserve">ch bedeutende Rolle soziales Kapital bei der Bildung von Humankapital spielt. Coleman geht davon aus, dass Bildungseinrichtungen nur dann erfolgreich arbeiten können, wenn die Kinder und Jugendlichen soziales Kapital besitzen, das heißt, wenn sie in einem </w:t>
      </w:r>
      <w:r>
        <w:rPr>
          <w:rFonts w:cs="Times New Roman" w:eastAsia="FFScala" w:asciiTheme="minorHAnsi" w:hAnsiTheme="minorHAnsi"/>
          <w:bCs/>
          <w:color w:val="141314"/>
        </w:rPr>
        <w:t xml:space="preserve">Netzwerk sozialer Beziehungen groß geworden sind</w:t>
      </w:r>
      <w:r>
        <w:rPr>
          <w:rFonts w:cs="Times New Roman" w:eastAsia="FFScala" w:asciiTheme="minorHAnsi" w:hAnsiTheme="minorHAnsi"/>
          <w:color w:val="141314"/>
        </w:rPr>
        <w:t xml:space="preserve">, das die </w:t>
      </w:r>
      <w:r>
        <w:rPr>
          <w:rFonts w:cs="Times New Roman" w:eastAsia="FFScala" w:asciiTheme="minorHAnsi" w:hAnsiTheme="minorHAnsi"/>
          <w:bCs/>
          <w:color w:val="141314"/>
        </w:rPr>
        <w:t xml:space="preserve">Übernahme sozial anerkannter Ziele, Werte und Einstellungen fördert und unterstützt</w:t>
      </w:r>
      <w:r>
        <w:rPr>
          <w:rFonts w:cs="Times New Roman" w:eastAsia="FFScala" w:asciiTheme="minorHAnsi" w:hAnsiTheme="minorHAnsi"/>
          <w:color w:val="141314"/>
        </w:rPr>
        <w:t xml:space="preserve">. Normalerweise wird</w:t>
      </w:r>
      <w:r>
        <w:rPr>
          <w:rFonts w:cs="Times New Roman" w:eastAsia="FFScala" w:asciiTheme="minorHAnsi" w:hAnsiTheme="minorHAnsi"/>
          <w:color w:val="141314"/>
        </w:rPr>
        <w:t xml:space="preserve"> soziales Kapital in der Familie gebildet, in Verwandtschafts- und Nachbarschaftsgruppen, in religiösen oder ethnischen Gruppen, in Vereinen, Betrieben oder politischen Parteien. Durch die Struktur der sozialen Beziehungen in diesen Gemeinschaften wird ein</w:t>
      </w:r>
      <w:r>
        <w:rPr>
          <w:rFonts w:cs="Times New Roman" w:eastAsia="FFScala" w:asciiTheme="minorHAnsi" w:hAnsiTheme="minorHAnsi"/>
          <w:bCs/>
          <w:color w:val="141314"/>
        </w:rPr>
        <w:t xml:space="preserve"> Netz aus wechselseitigen Erwartungen und Verpflichtungen erzeugt, das Vertrauen bildet und Zusammenarbeit ermöglicht</w:t>
      </w:r>
      <w:r>
        <w:rPr>
          <w:rFonts w:cs="Times New Roman" w:eastAsia="FFScala" w:asciiTheme="minorHAnsi" w:hAnsiTheme="minorHAnsi"/>
          <w:color w:val="141314"/>
        </w:rPr>
        <w:t xml:space="preserve">. In diesem Netz werden </w:t>
      </w:r>
      <w:r>
        <w:rPr>
          <w:rFonts w:cs="Times New Roman" w:eastAsia="FFScala" w:asciiTheme="minorHAnsi" w:hAnsiTheme="minorHAnsi"/>
          <w:bCs/>
          <w:color w:val="141314"/>
        </w:rPr>
        <w:t xml:space="preserve">Informationen ausgetauscht, Normen</w:t>
      </w:r>
      <w:r/>
    </w:p>
    <w:p>
      <w:pPr>
        <w:jc w:val="both"/>
        <w:rPr>
          <w:rFonts w:cs="Times New Roman" w:eastAsia="FFScala" w:asciiTheme="minorHAnsi" w:hAnsiTheme="minorHAnsi"/>
          <w:color w:val="141314"/>
        </w:rPr>
      </w:pPr>
      <w:r>
        <w:rPr>
          <w:rFonts w:cs="Times New Roman" w:eastAsia="FFScala" w:asciiTheme="minorHAnsi" w:hAnsiTheme="minorHAnsi"/>
          <w:bCs/>
          <w:color w:val="141314"/>
        </w:rPr>
        <w:t xml:space="preserve">gebildet und Normverletzungen geahndet</w:t>
      </w:r>
      <w:r>
        <w:rPr>
          <w:rFonts w:cs="Times New Roman" w:eastAsia="FFScala" w:asciiTheme="minorHAnsi" w:hAnsiTheme="minorHAnsi"/>
          <w:color w:val="141314"/>
        </w:rPr>
        <w:t xml:space="preserve">.</w:t>
      </w:r>
      <w:r/>
    </w:p>
    <w:p>
      <w:pPr>
        <w:jc w:val="both"/>
        <w:rPr>
          <w:rFonts w:cs="Calibri" w:eastAsia="FFScala" w:asciiTheme="minorHAnsi" w:hAnsiTheme="minorHAnsi"/>
          <w:color w:val="141314"/>
        </w:rPr>
      </w:pPr>
      <w:r>
        <w:rPr>
          <w:rFonts w:cs="Calibri" w:eastAsia="FFScala" w:asciiTheme="minorHAnsi" w:hAnsiTheme="minorHAnsi"/>
          <w:color w:val="141314"/>
        </w:rPr>
      </w:r>
      <w:r/>
    </w:p>
    <w:p>
      <w:pPr>
        <w:jc w:val="both"/>
        <w:rPr>
          <w:rFonts w:cs="Calibri" w:eastAsia="FFScala" w:asciiTheme="minorHAnsi" w:hAnsiTheme="minorHAnsi"/>
          <w:color w:val="141314"/>
        </w:rPr>
      </w:pPr>
      <w:r>
        <w:rPr>
          <w:rFonts w:cs="Calibri" w:eastAsia="FFScala" w:asciiTheme="minorHAnsi" w:hAnsiTheme="minorHAnsi"/>
          <w:color w:val="141314"/>
        </w:rPr>
        <w:t xml:space="preserve">(Baumert &amp; Maaz 2006, S. 23-24)</w:t>
      </w:r>
      <w:r/>
    </w:p>
    <w:p>
      <w:pPr>
        <w:jc w:val="both"/>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rPr>
          <w:rFonts w:cs="Calibri" w:eastAsia="FFScala" w:asciiTheme="minorHAnsi" w:hAnsiTheme="minorHAnsi"/>
          <w:color w:val="141314"/>
        </w:rPr>
      </w:pPr>
      <w:r>
        <w:rPr>
          <w:rFonts w:cs="Calibri" w:eastAsia="FFScala" w:asciiTheme="minorHAnsi" w:hAnsiTheme="minorHAnsi"/>
          <w:color w:val="141314"/>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t xml:space="preserve">Literatur</w:t>
      </w:r>
      <w:r/>
    </w:p>
    <w:p>
      <w:pPr>
        <w:ind w:left="709" w:hanging="709"/>
        <w:jc w:val="both"/>
        <w:rPr>
          <w:rFonts w:cs="Calibri" w:eastAsia="FFScala" w:asciiTheme="minorHAnsi" w:hAnsiTheme="minorHAnsi"/>
          <w:bCs/>
          <w:color w:val="141314"/>
          <w:sz w:val="20"/>
          <w:szCs w:val="20"/>
        </w:rPr>
      </w:pPr>
      <w:r>
        <w:rPr>
          <w:rFonts w:cs="Calibri" w:eastAsia="FFScala" w:asciiTheme="minorHAnsi" w:hAnsiTheme="minorHAnsi"/>
          <w:color w:val="141314"/>
          <w:sz w:val="20"/>
          <w:szCs w:val="20"/>
        </w:rPr>
        <w:t xml:space="preserve">Baumert, J. &amp; Maaz, K. (2006). </w:t>
      </w:r>
      <w:r>
        <w:rPr>
          <w:rFonts w:cs="Calibri" w:eastAsia="FFScala" w:asciiTheme="minorHAnsi" w:hAnsiTheme="minorHAnsi"/>
          <w:bCs/>
          <w:color w:val="141314"/>
          <w:sz w:val="20"/>
          <w:szCs w:val="20"/>
        </w:rPr>
        <w:t xml:space="preserve">Das theoretische und methodische Konzept von PISA zur Erfassung sozialer und kultureller Ressourcen der Herkunftsfamilie. Internationale und nationale Rahmenkonzeption. In: </w:t>
      </w:r>
      <w:r>
        <w:rPr>
          <w:rFonts w:cs="Calibri" w:eastAsia="FFScala" w:asciiTheme="minorHAnsi" w:hAnsiTheme="minorHAnsi"/>
          <w:bCs/>
          <w:color w:val="141314"/>
          <w:sz w:val="20"/>
          <w:szCs w:val="20"/>
        </w:rPr>
        <w:t xml:space="preserve">Baumert</w:t>
      </w:r>
      <w:r>
        <w:rPr>
          <w:rFonts w:cs="Calibri" w:eastAsia="FFScala" w:asciiTheme="minorHAnsi" w:hAnsiTheme="minorHAnsi"/>
          <w:bCs/>
          <w:color w:val="141314"/>
          <w:sz w:val="20"/>
          <w:szCs w:val="20"/>
        </w:rPr>
        <w:t xml:space="preserve">,</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J.</w:t>
      </w:r>
      <w:r>
        <w:rPr>
          <w:rFonts w:cs="Calibri" w:eastAsia="FFScala" w:asciiTheme="minorHAnsi" w:hAnsiTheme="minorHAnsi"/>
          <w:bCs/>
          <w:color w:val="141314"/>
          <w:sz w:val="20"/>
          <w:szCs w:val="20"/>
        </w:rPr>
        <w:t xml:space="preserve">, Stanat</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P.</w:t>
      </w:r>
      <w:r>
        <w:rPr>
          <w:rFonts w:cs="Calibri" w:eastAsia="FFScala" w:asciiTheme="minorHAnsi" w:hAnsiTheme="minorHAnsi"/>
          <w:bCs/>
          <w:color w:val="141314"/>
          <w:sz w:val="20"/>
          <w:szCs w:val="20"/>
        </w:rPr>
        <w:t xml:space="preserve"> &amp; Watermann</w:t>
      </w:r>
      <w:r>
        <w:rPr>
          <w:rFonts w:cs="Calibri" w:eastAsia="FFScala" w:asciiTheme="minorHAnsi" w:hAnsiTheme="minorHAnsi"/>
          <w:bCs/>
          <w:color w:val="141314"/>
          <w:sz w:val="20"/>
          <w:szCs w:val="20"/>
        </w:rPr>
        <w:t xml:space="preserve">, </w:t>
      </w:r>
      <w:r>
        <w:rPr>
          <w:rFonts w:cs="Calibri" w:eastAsia="FFScala" w:asciiTheme="minorHAnsi" w:hAnsiTheme="minorHAnsi"/>
          <w:bCs/>
          <w:color w:val="141314"/>
          <w:sz w:val="20"/>
          <w:szCs w:val="20"/>
        </w:rPr>
        <w:t xml:space="preserve">R.</w:t>
      </w:r>
      <w:r>
        <w:rPr>
          <w:rFonts w:cs="Calibri" w:eastAsia="FFScala" w:asciiTheme="minorHAnsi" w:hAnsiTheme="minorHAnsi"/>
          <w:bCs/>
          <w:color w:val="141314"/>
          <w:sz w:val="20"/>
          <w:szCs w:val="20"/>
        </w:rPr>
        <w:t xml:space="preserve"> (Hrsg.)</w:t>
      </w:r>
      <w:r>
        <w:rPr>
          <w:rFonts w:cs="Calibri" w:eastAsia="FFScala" w:asciiTheme="minorHAnsi" w:hAnsiTheme="minorHAnsi"/>
          <w:bCs/>
          <w:color w:val="141314"/>
          <w:sz w:val="20"/>
          <w:szCs w:val="20"/>
        </w:rPr>
        <w:t xml:space="preserve">. </w:t>
      </w:r>
      <w:r>
        <w:rPr>
          <w:rFonts w:cs="Calibri" w:eastAsia="FFScala" w:asciiTheme="minorHAnsi" w:hAnsiTheme="minorHAnsi"/>
          <w:bCs/>
          <w:i/>
          <w:color w:val="141314"/>
          <w:sz w:val="20"/>
          <w:szCs w:val="20"/>
        </w:rPr>
        <w:t xml:space="preserve">Herkunftsbedingte Disparitäten im Bildungswesen. Differenzielle Bildungsprozesse und Probleme der Verteilungsgerechtigkeit. Vertiefende Analysen im Rahmen von PISA 2000.</w:t>
      </w:r>
      <w:r>
        <w:rPr>
          <w:rFonts w:cs="Calibri" w:eastAsia="FFScala" w:asciiTheme="minorHAnsi" w:hAnsiTheme="minorHAnsi"/>
          <w:bCs/>
          <w:color w:val="141314"/>
          <w:sz w:val="20"/>
          <w:szCs w:val="20"/>
        </w:rPr>
        <w:t xml:space="preserve"> Wiesbaden: VS Verlag für Sozialwissenschaften. S. 11-30. </w:t>
      </w:r>
      <w:r>
        <w:rPr>
          <w:rFonts w:cs="Calibri" w:eastAsia="FFScala" w:asciiTheme="minorHAnsi" w:hAnsiTheme="minorHAnsi"/>
          <w:bCs/>
          <w:color w:val="141314"/>
          <w:sz w:val="20"/>
          <w:szCs w:val="20"/>
        </w:rPr>
        <w:br w:type="page"/>
      </w:r>
      <w:r/>
    </w:p>
    <w:p>
      <w:pPr>
        <w:pageBreakBefore/>
        <w:rPr>
          <w:rFonts w:cs="Calibri" w:asciiTheme="minorHAnsi" w:hAnsiTheme="minorHAnsi"/>
          <w:b/>
          <w:bCs/>
          <w:sz w:val="28"/>
          <w:szCs w:val="28"/>
        </w:rPr>
      </w:pPr>
      <w:r>
        <w:rPr>
          <w:rFonts w:cs="Calibri" w:asciiTheme="minorHAnsi" w:hAnsiTheme="minorHAnsi"/>
          <w:b/>
          <w:bCs/>
          <w:sz w:val="28"/>
          <w:szCs w:val="28"/>
        </w:rPr>
        <w:t xml:space="preserve">Kulturalistische Argumente</w:t>
      </w:r>
      <w:r/>
    </w:p>
    <w:p>
      <w:pPr>
        <w:rPr>
          <w:rFonts w:cs="Calibri" w:asciiTheme="minorHAnsi" w:hAnsiTheme="minorHAnsi"/>
          <w:b/>
          <w:bCs/>
        </w:rPr>
      </w:pPr>
      <w:r>
        <w:rPr>
          <w:rFonts w:cs="Calibri" w:asciiTheme="minorHAnsi" w:hAnsiTheme="minorHAnsi"/>
          <w:b/>
          <w:bCs/>
        </w:rPr>
      </w:r>
      <w:r/>
    </w:p>
    <w:p>
      <w:pPr>
        <w:jc w:val="both"/>
        <w:rPr>
          <w:rFonts w:cs="Times New Roman" w:eastAsia="Times-Roman" w:asciiTheme="minorHAnsi" w:hAnsiTheme="minorHAnsi"/>
        </w:rPr>
      </w:pPr>
      <w:r>
        <w:rPr>
          <w:rFonts w:cs="Times New Roman" w:eastAsia="Times-Roman" w:asciiTheme="minorHAnsi" w:hAnsiTheme="minorHAnsi"/>
        </w:rPr>
        <w:t xml:space="preserve">In der Literatur wird eine </w:t>
      </w:r>
      <w:r>
        <w:rPr>
          <w:rFonts w:cs="Times New Roman" w:eastAsia="Times-Roman" w:asciiTheme="minorHAnsi" w:hAnsiTheme="minorHAnsi"/>
          <w:bCs/>
        </w:rPr>
        <w:t xml:space="preserve">Vielzahl von kulturbedingten “Defiziten” benannt, die den Schulerfolg von Kindern aus Migrantenfamilien behindern sollen</w:t>
      </w:r>
      <w:r>
        <w:rPr>
          <w:rFonts w:cs="Times New Roman" w:eastAsia="Times-Roman" w:asciiTheme="minorHAnsi" w:hAnsiTheme="minorHAnsi"/>
        </w:rPr>
        <w:t xml:space="preserve">, darunter ein autoritärer Erziehungsstil und die Verhinderung der Selbständigkeit und Mitbestimmung der Kinder (Mantas 1982, S. 23, zitiert nach Bender</w:t>
      </w:r>
      <w:r>
        <w:rPr>
          <w:rFonts w:cs="Times New Roman" w:eastAsia="Times-Roman" w:asciiTheme="minorHAnsi" w:hAnsiTheme="minorHAnsi"/>
        </w:rPr>
        <w:t xml:space="preserve">-Szymanski 1987, S. 39), eine mangelnde Anerkennung von Lernen und Leistung als Werte (Schrader et al. 1976, S. 102), eine mangelnde Einsicht in die Notwendigkeit eines regelmäßigen Schulbesuchs (Forschungsgruppe “Kinder ausländischer Arbeitnehmer” 197</w:t>
      </w:r>
      <w:r>
        <w:rPr>
          <w:rFonts w:cs="Times New Roman" w:eastAsia="Times-Roman" w:asciiTheme="minorHAnsi" w:hAnsiTheme="minorHAnsi"/>
        </w:rPr>
        <w:t xml:space="preserve">4, S. 391) und Unkenntnis des deutschen Schulsystems (Akpinar et al. 1977, S. 31; Stüwe 1982, S. 135) sowie Verhaltensprobleme bis hin zu Neurosen aufgrund des in den Kindern stattfindenden “Kulturkonflikts” (Akpinar et al. 1977, S. 68).[…]</w:t>
      </w:r>
      <w:r/>
    </w:p>
    <w:p>
      <w:pPr>
        <w:jc w:val="both"/>
        <w:rPr>
          <w:rFonts w:cs="Times New Roman" w:eastAsia="Times-Roman" w:asciiTheme="minorHAnsi" w:hAnsiTheme="minorHAnsi"/>
        </w:rPr>
      </w:pPr>
      <w:r>
        <w:rPr>
          <w:rFonts w:cs="Times New Roman" w:eastAsia="Times-Roman" w:asciiTheme="minorHAnsi" w:hAnsiTheme="minorHAnsi"/>
        </w:rPr>
      </w:r>
      <w:r/>
    </w:p>
    <w:p>
      <w:pPr>
        <w:jc w:val="both"/>
        <w:rPr>
          <w:rFonts w:cs="Times New Roman" w:eastAsia="FFScala" w:asciiTheme="minorHAnsi" w:hAnsiTheme="minorHAnsi"/>
          <w:bCs/>
          <w:color w:val="141314"/>
        </w:rPr>
      </w:pPr>
      <w:r>
        <w:rPr>
          <w:rFonts w:cs="Times New Roman" w:eastAsia="Times-Roman" w:asciiTheme="minorHAnsi" w:hAnsiTheme="minorHAnsi"/>
        </w:rPr>
        <w:t xml:space="preserve">Sofern diese Behauptungen im Zusammenhang mit empirischen Studien vorgebracht werden, handelt es sich entweder um ex-post-facto-Erklärungen, Plausibilisierungen oder um Forschungserge</w:t>
      </w:r>
      <w:r>
        <w:rPr>
          <w:rFonts w:cs="Times New Roman" w:eastAsia="Times-Roman" w:asciiTheme="minorHAnsi" w:hAnsiTheme="minorHAnsi"/>
        </w:rPr>
        <w:t xml:space="preserve">bnisse, die nicht verallgemeinerbar sind, weil sie im Rahmen qualitativer Studien oder unter Verwendung sehr spezifischer Stichproben gewonnen wurden. Dort, wo empirische Prüfungen erfolgten, die den Standards empirischer Sozialforschung eher entsprechen, </w:t>
      </w:r>
      <w:r>
        <w:rPr>
          <w:rFonts w:cs="Times New Roman" w:eastAsia="Times-Roman" w:asciiTheme="minorHAnsi" w:hAnsiTheme="minorHAnsi"/>
          <w:bCs/>
        </w:rPr>
        <w:t xml:space="preserve">wurden zentrale Thesen der Erklärung durch kulturelle Defizite widerlegt</w:t>
      </w:r>
      <w:r>
        <w:rPr>
          <w:rFonts w:cs="Times New Roman" w:eastAsia="Times-Roman" w:asciiTheme="minorHAnsi" w:hAnsiTheme="minorHAnsi"/>
        </w:rPr>
        <w:t xml:space="preserve">: So konnte Nauck (1985) aufgrund seiner Untersuchung türkischer Migrantenfamilien zeigen, dass eine autoritär-patriarchalische Familienstruktur eher selten zu finden war und</w:t>
      </w:r>
      <w:r>
        <w:rPr>
          <w:rFonts w:cs="Times New Roman" w:eastAsia="Times-Roman" w:asciiTheme="minorHAnsi" w:hAnsiTheme="minorHAnsi"/>
        </w:rPr>
        <w:t xml:space="preserve"> in allen Handlungsfeldern synkratische Entscheidungen in den Familien überwogen. Weitere Studien haben gezeigt, dass in türkischen Migrantenfamilien keinesfalls ein Mangel an Einsicht in die Notwendigkeit eines regelmäßigen Schulbesuchs und kein mangelnde</w:t>
      </w:r>
      <w:r>
        <w:rPr>
          <w:rFonts w:cs="Times New Roman" w:eastAsia="Times-Roman" w:asciiTheme="minorHAnsi" w:hAnsiTheme="minorHAnsi"/>
        </w:rPr>
        <w:t xml:space="preserve">r Respekt vor den Werten “Lernen” und “Leistung” besteht, sondern – im Gegenteil – die Bildungsaspirationen besonders hoch sind, und zwar höher als in deutschen Familien (Holtbrügge 1975; Mehrländer et al. 1981; Neumann 1980; Wilpert 1980).</w:t>
      </w:r>
      <w:r>
        <w:rPr>
          <w:rFonts w:cs="Times New Roman" w:eastAsia="FFScala" w:asciiTheme="minorHAnsi" w:hAnsiTheme="minorHAnsi"/>
          <w:bCs/>
          <w:color w:val="141314"/>
        </w:rPr>
        <w:t xml:space="preserve"> </w:t>
      </w:r>
      <w:r/>
    </w:p>
    <w:p>
      <w:pPr>
        <w:jc w:val="both"/>
        <w:rPr>
          <w:rFonts w:cs="Calibri" w:eastAsia="FFScala" w:asciiTheme="minorHAnsi" w:hAnsiTheme="minorHAnsi"/>
          <w:bCs/>
          <w:color w:val="141314"/>
        </w:rPr>
      </w:pPr>
      <w:r>
        <w:rPr>
          <w:rFonts w:cs="Calibri" w:eastAsia="FFScala" w:asciiTheme="minorHAnsi" w:hAnsiTheme="minorHAnsi"/>
          <w:bCs/>
          <w:color w:val="141314"/>
        </w:rPr>
      </w:r>
      <w:r/>
    </w:p>
    <w:p>
      <w:pPr>
        <w:jc w:val="both"/>
        <w:rPr>
          <w:rFonts w:cs="Calibri" w:eastAsia="FFScala" w:asciiTheme="minorHAnsi" w:hAnsiTheme="minorHAnsi"/>
          <w:bCs/>
          <w:color w:val="141314"/>
        </w:rPr>
      </w:pPr>
      <w:r>
        <w:rPr>
          <w:rFonts w:cs="Calibri" w:eastAsia="FFScala" w:asciiTheme="minorHAnsi" w:hAnsiTheme="minorHAnsi"/>
          <w:bCs/>
          <w:color w:val="141314"/>
        </w:rPr>
        <w:t xml:space="preserve">(Diefenbach 2010, S. 93)</w:t>
      </w:r>
      <w:r/>
    </w:p>
    <w:p>
      <w:pPr>
        <w:rPr>
          <w:rFonts w:cs="Calibri" w:eastAsia="FFScala" w:asciiTheme="minorHAnsi" w:hAnsiTheme="minorHAnsi"/>
          <w:bCs/>
          <w:i/>
          <w:color w:val="141314"/>
        </w:rPr>
      </w:pPr>
      <w:r>
        <w:rPr>
          <w:rFonts w:cs="Calibri" w:eastAsia="FFScala" w:asciiTheme="minorHAnsi" w:hAnsiTheme="minorHAnsi"/>
          <w:bCs/>
          <w:i/>
          <w:color w:val="141314"/>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t xml:space="preserve">Literatur</w:t>
      </w:r>
      <w:r/>
    </w:p>
    <w:p>
      <w:pPr>
        <w:ind w:left="709" w:hanging="709"/>
        <w:jc w:val="both"/>
        <w:rPr>
          <w:rFonts w:cs="Calibri" w:eastAsia="FFScala" w:asciiTheme="minorHAnsi" w:hAnsiTheme="minorHAnsi"/>
          <w:color w:val="141314"/>
          <w:sz w:val="20"/>
          <w:szCs w:val="20"/>
        </w:rPr>
      </w:pPr>
      <w:r>
        <w:rPr>
          <w:rFonts w:cs="Calibri" w:eastAsia="FFScala" w:asciiTheme="minorHAnsi" w:hAnsiTheme="minorHAnsi"/>
          <w:color w:val="141314"/>
          <w:sz w:val="20"/>
          <w:szCs w:val="20"/>
        </w:rPr>
        <w:t xml:space="preserve">Diefenbach, H. (2010). </w:t>
      </w:r>
      <w:r>
        <w:rPr>
          <w:rFonts w:cs="Calibri" w:eastAsia="FFScala" w:asciiTheme="minorHAnsi" w:hAnsiTheme="minorHAnsi"/>
          <w:i/>
          <w:color w:val="141314"/>
          <w:sz w:val="20"/>
          <w:szCs w:val="20"/>
        </w:rPr>
        <w:t xml:space="preserve">Kinder und Jugendliche aus Migrantenfamilien im deutschen Bildungssystem. Erklärungen und empirische Befunde.</w:t>
      </w:r>
      <w:r>
        <w:rPr>
          <w:rFonts w:cs="Calibri" w:eastAsia="FFScala" w:asciiTheme="minorHAnsi" w:hAnsiTheme="minorHAnsi"/>
          <w:color w:val="141314"/>
          <w:sz w:val="20"/>
          <w:szCs w:val="20"/>
        </w:rPr>
        <w:t xml:space="preserve"> 3. Auflage. Wiesbaden: VS Verlag für Sozialwissenschaften. </w:t>
      </w:r>
      <w:r>
        <w:rPr>
          <w:rFonts w:cs="Calibri" w:eastAsia="FFScala" w:asciiTheme="minorHAnsi" w:hAnsiTheme="minorHAnsi"/>
          <w:color w:val="141314"/>
          <w:sz w:val="20"/>
          <w:szCs w:val="20"/>
        </w:rPr>
        <w:br w:type="page"/>
      </w:r>
      <w:r/>
    </w:p>
    <w:p>
      <w:pPr>
        <w:pageBreakBefore/>
        <w:rPr>
          <w:rFonts w:cs="Calibri" w:asciiTheme="minorHAnsi" w:hAnsiTheme="minorHAnsi"/>
          <w:b/>
          <w:bCs/>
          <w:sz w:val="28"/>
          <w:szCs w:val="28"/>
        </w:rPr>
      </w:pPr>
      <w:r>
        <w:rPr>
          <w:rFonts w:cs="Calibri" w:asciiTheme="minorHAnsi" w:hAnsiTheme="minorHAnsi"/>
          <w:b/>
          <w:bCs/>
          <w:sz w:val="28"/>
          <w:szCs w:val="28"/>
        </w:rPr>
        <w:t xml:space="preserve">Spezifisches Investitionsverhalten in Bildung</w:t>
      </w:r>
      <w:r/>
    </w:p>
    <w:p>
      <w:pPr>
        <w:rPr>
          <w:rFonts w:cs="Calibri" w:asciiTheme="minorHAnsi" w:hAnsiTheme="minorHAnsi"/>
          <w:b/>
          <w:bCs/>
        </w:rPr>
      </w:pPr>
      <w:r>
        <w:rPr>
          <w:rFonts w:cs="Calibri" w:asciiTheme="minorHAnsi" w:hAnsiTheme="minorHAnsi"/>
          <w:b/>
          <w:bCs/>
        </w:rPr>
      </w:r>
      <w:r/>
    </w:p>
    <w:p>
      <w:pPr>
        <w:jc w:val="both"/>
        <w:rPr>
          <w:rFonts w:cs="Times New Roman" w:eastAsia="Times-Roman" w:asciiTheme="minorHAnsi" w:hAnsiTheme="minorHAnsi"/>
        </w:rPr>
      </w:pPr>
      <w:r>
        <w:rPr>
          <w:rFonts w:cs="Times New Roman" w:eastAsia="Times-Roman" w:asciiTheme="minorHAnsi" w:hAnsiTheme="minorHAnsi"/>
          <w:color w:val="141314"/>
        </w:rPr>
        <w:t xml:space="preserve">Es könnte […] sein, dass </w:t>
      </w:r>
      <w:r>
        <w:rPr>
          <w:rFonts w:cs="Times New Roman" w:eastAsia="Times-Roman" w:asciiTheme="minorHAnsi" w:hAnsiTheme="minorHAnsi"/>
        </w:rPr>
        <w:t xml:space="preserve">Migrantenfamilien ihre </w:t>
      </w:r>
      <w:r>
        <w:rPr>
          <w:rFonts w:cs="Times New Roman" w:eastAsia="Times-Roman" w:asciiTheme="minorHAnsi" w:hAnsiTheme="minorHAnsi"/>
          <w:bCs/>
        </w:rPr>
        <w:t xml:space="preserve">Ressourcen anders einsetzen</w:t>
      </w:r>
      <w:r>
        <w:rPr>
          <w:rFonts w:cs="Times New Roman" w:eastAsia="Times-Roman" w:asciiTheme="minorHAnsi" w:hAnsiTheme="minorHAnsi"/>
        </w:rPr>
        <w:t xml:space="preserve"> als deutsche Familien, um ihre Kinder möglichst gut zu platzieren. Anders ausgedrückt: Es ist nicht ein Mangel an familialen Ress</w:t>
      </w:r>
      <w:r>
        <w:rPr>
          <w:rFonts w:cs="Times New Roman" w:eastAsia="Times-Roman" w:asciiTheme="minorHAnsi" w:hAnsiTheme="minorHAnsi"/>
        </w:rPr>
        <w:t xml:space="preserve">ourcen oder spezifischem Wissen über die Verhältnisse in Deutschland, der dazu führt, dass Kinder und Jugendliche aus Migrantenfamilien bezüglich ihrer Bildungsbeteiligung und ihres Bildungserfolgs deutlich schlechter dastehen als deutsche Kinder, sondern </w:t>
      </w:r>
      <w:r>
        <w:rPr>
          <w:rFonts w:cs="Times New Roman" w:eastAsia="Times-Roman" w:asciiTheme="minorHAnsi" w:hAnsiTheme="minorHAnsi"/>
          <w:bCs/>
        </w:rPr>
        <w:t xml:space="preserve">die Art, wie Migrantenfamilien ihre Ressourcen einsetzen</w:t>
      </w:r>
      <w:r>
        <w:rPr>
          <w:rFonts w:cs="Times New Roman" w:eastAsia="Times-Roman" w:asciiTheme="minorHAnsi" w:hAnsiTheme="minorHAnsi"/>
        </w:rPr>
        <w:t xml:space="preserve">. Die These ist also – ökonomisch formuliert – die, dass Migrantenfamilien ein anderes Investitionsverhalten in Bildung zeigen als deutsche Familien. Die Frage ist dann natürlich, </w:t>
      </w:r>
      <w:r>
        <w:rPr>
          <w:rFonts w:cs="Times New Roman" w:eastAsia="Times-Italic" w:asciiTheme="minorHAnsi" w:hAnsiTheme="minorHAnsi"/>
          <w:i/>
          <w:iCs/>
        </w:rPr>
        <w:t xml:space="preserve">warum </w:t>
      </w:r>
      <w:r>
        <w:rPr>
          <w:rFonts w:cs="Times New Roman" w:eastAsia="Times-Roman" w:asciiTheme="minorHAnsi" w:hAnsiTheme="minorHAnsi"/>
        </w:rPr>
        <w:t xml:space="preserve">Migrantenfamilien ein anderes Investitionsverhalten </w:t>
      </w:r>
      <w:r>
        <w:rPr>
          <w:rFonts w:cs="Times New Roman" w:eastAsia="Times-Roman" w:asciiTheme="minorHAnsi" w:hAnsiTheme="minorHAnsi"/>
        </w:rPr>
        <w:t xml:space="preserve">zeigen sollten als deutsche Familien. Diesbezüglich sind mehrere Vorschläge gemacht worden, die alle darin übereinstimmen, dass die Antwort auf diese Frage in der Migrationssituation bzw. der sozialen Lage ethnischer Minderheiten in der Gesellschaft liege.</w:t>
      </w:r>
      <w:r/>
    </w:p>
    <w:p>
      <w:pPr>
        <w:jc w:val="both"/>
        <w:rPr>
          <w:rFonts w:cs="Times New Roman" w:eastAsia="Times-Roman" w:asciiTheme="minorHAnsi" w:hAnsiTheme="minorHAnsi"/>
        </w:rPr>
      </w:pPr>
      <w:r>
        <w:rPr>
          <w:rFonts w:cs="Times New Roman" w:eastAsia="Times-Roman" w:asciiTheme="minorHAnsi" w:hAnsiTheme="minorHAnsi"/>
        </w:rPr>
      </w:r>
      <w:r/>
    </w:p>
    <w:p>
      <w:pPr>
        <w:jc w:val="both"/>
        <w:rPr>
          <w:rFonts w:cs="Times New Roman" w:eastAsia="FFScala" w:asciiTheme="minorHAnsi" w:hAnsiTheme="minorHAnsi"/>
          <w:bCs/>
          <w:color w:val="141314"/>
        </w:rPr>
      </w:pPr>
      <w:r>
        <w:rPr>
          <w:rFonts w:cs="Times New Roman" w:eastAsia="Times-Roman" w:asciiTheme="minorHAnsi" w:hAnsiTheme="minorHAnsi"/>
        </w:rPr>
        <w:t xml:space="preserve">So haben Korte (1990) und Schiffauer (1991) auf der Basis qualitativer Studien in Bezug auf türkische Migrantenfamilien argumentiert, dass sie </w:t>
      </w:r>
      <w:r>
        <w:rPr>
          <w:rFonts w:cs="Times New Roman" w:eastAsia="Times-Roman" w:asciiTheme="minorHAnsi" w:hAnsiTheme="minorHAnsi"/>
          <w:bCs/>
        </w:rPr>
        <w:t xml:space="preserve">aufgrund ihres unsicheren Aufenthaltsstatus keine langfristige Perspektive auf die deutsche Gesellschaft hin entwickeln könnten, so dass türkische Eltern ein geringes Interesse an den Bildungsabschlüssen hätten, die ihre Kinder in Deutschland erwerben</w:t>
      </w:r>
      <w:r>
        <w:rPr>
          <w:rFonts w:cs="Times New Roman" w:eastAsia="Times-Roman" w:asciiTheme="minorHAnsi" w:hAnsiTheme="minorHAnsi"/>
        </w:rPr>
        <w:t xml:space="preserve">. Im Falle einer Rückkehr in die Herkunftsgesellschaft seien diese Abschlüsse ohnehin formal wertlos. Statt dessen hätten türkische Eltern ein Interesse daran, ihre </w:t>
      </w:r>
      <w:r>
        <w:rPr>
          <w:rFonts w:cs="Times New Roman" w:eastAsia="Times-Roman" w:asciiTheme="minorHAnsi" w:hAnsiTheme="minorHAnsi"/>
          <w:bCs/>
        </w:rPr>
        <w:t xml:space="preserve">Kinder möglichst früh von der Schule zu nehmen, damit sie durch eine Erwerbstätigkeit oder eine Tätigkeit als mithelfender Familienangehöriger im familieneigenen Betrieb zum Familieneinkommen beitragen könnten</w:t>
      </w:r>
      <w:r>
        <w:rPr>
          <w:rFonts w:cs="Times New Roman" w:eastAsia="Times-Roman" w:asciiTheme="minorHAnsi" w:hAnsiTheme="minorHAnsi"/>
        </w:rPr>
        <w:t xml:space="preserve">, denn dies könne die Rückkehr in die ‘Heimat’ beschleunigen. Wenn dies zuträfe, so wäre </w:t>
      </w:r>
      <w:r>
        <w:rPr>
          <w:rFonts w:cs="Times New Roman" w:eastAsia="Times-Roman" w:asciiTheme="minorHAnsi" w:hAnsiTheme="minorHAnsi"/>
        </w:rPr>
        <w:t xml:space="preserve">das, was sich statistisch als eine Unterinvestition von Migrantenfamilien in Bildung darstellt, das Ergebnis einer vernünftigen Entscheidung, vernünftig insofern als sie unter Berücksichtigung der spezifischen Lebenssituation von Migrantenfamilien erfolgt.</w:t>
      </w:r>
      <w:r>
        <w:rPr>
          <w:rFonts w:cs="Times New Roman" w:eastAsia="FFScala" w:asciiTheme="minorHAnsi" w:hAnsiTheme="minorHAnsi"/>
          <w:bCs/>
          <w:color w:val="141314"/>
        </w:rPr>
        <w:t xml:space="preserve"> </w:t>
      </w:r>
      <w:r/>
    </w:p>
    <w:p>
      <w:pPr>
        <w:jc w:val="both"/>
        <w:rPr>
          <w:rFonts w:cs="Calibri" w:eastAsia="FFScala" w:asciiTheme="minorHAnsi" w:hAnsiTheme="minorHAnsi"/>
          <w:bCs/>
          <w:color w:val="141314"/>
        </w:rPr>
      </w:pPr>
      <w:r>
        <w:rPr>
          <w:rFonts w:cs="Calibri" w:eastAsia="FFScala" w:asciiTheme="minorHAnsi" w:hAnsiTheme="minorHAnsi"/>
          <w:bCs/>
          <w:color w:val="141314"/>
        </w:rPr>
      </w:r>
      <w:r/>
    </w:p>
    <w:p>
      <w:pPr>
        <w:jc w:val="both"/>
        <w:rPr>
          <w:rFonts w:cs="Calibri" w:eastAsia="FFScala" w:asciiTheme="minorHAnsi" w:hAnsiTheme="minorHAnsi"/>
          <w:bCs/>
          <w:color w:val="141314"/>
        </w:rPr>
      </w:pPr>
      <w:r>
        <w:rPr>
          <w:rFonts w:cs="Calibri" w:eastAsia="FFScala" w:asciiTheme="minorHAnsi" w:hAnsiTheme="minorHAnsi"/>
          <w:bCs/>
          <w:color w:val="141314"/>
        </w:rPr>
        <w:t xml:space="preserve">(Diefenbach 2010, S. 114)</w:t>
      </w:r>
      <w:r/>
    </w:p>
    <w:p>
      <w:pPr>
        <w:jc w:val="both"/>
        <w:rPr>
          <w:rFonts w:cs="Calibri" w:eastAsia="FFScala" w:asciiTheme="minorHAnsi" w:hAnsiTheme="minorHAnsi"/>
          <w:bCs/>
          <w:color w:val="141314"/>
        </w:rPr>
      </w:pPr>
      <w:r>
        <w:rPr>
          <w:rFonts w:cs="Calibri" w:eastAsia="FFScala" w:asciiTheme="minorHAnsi" w:hAnsiTheme="minorHAnsi"/>
          <w:bCs/>
          <w:color w:val="141314"/>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rPr>
          <w:rFonts w:cs="Calibri" w:asciiTheme="minorHAnsi" w:hAnsiTheme="minorHAnsi"/>
          <w:b/>
          <w:bCs/>
        </w:rPr>
      </w:pPr>
      <w:r>
        <w:rPr>
          <w:rFonts w:cs="Calibri" w:asciiTheme="minorHAnsi" w:hAnsiTheme="minorHAnsi"/>
          <w:b/>
          <w:bCs/>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t xml:space="preserve">Literatur</w:t>
      </w:r>
      <w:r/>
    </w:p>
    <w:p>
      <w:pPr>
        <w:ind w:left="709" w:hanging="709"/>
        <w:jc w:val="both"/>
        <w:rPr>
          <w:rFonts w:cs="Calibri" w:eastAsia="FFScala" w:asciiTheme="minorHAnsi" w:hAnsiTheme="minorHAnsi"/>
          <w:color w:val="141314"/>
          <w:sz w:val="20"/>
          <w:szCs w:val="20"/>
        </w:rPr>
      </w:pPr>
      <w:r>
        <w:rPr>
          <w:rFonts w:cs="Calibri" w:eastAsia="FFScala" w:asciiTheme="minorHAnsi" w:hAnsiTheme="minorHAnsi"/>
          <w:color w:val="141314"/>
          <w:sz w:val="20"/>
          <w:szCs w:val="20"/>
        </w:rPr>
        <w:t xml:space="preserve">Diefenbach, H. (2010). </w:t>
      </w:r>
      <w:r>
        <w:rPr>
          <w:rFonts w:cs="Calibri" w:eastAsia="FFScala" w:asciiTheme="minorHAnsi" w:hAnsiTheme="minorHAnsi"/>
          <w:i/>
          <w:color w:val="141314"/>
          <w:sz w:val="20"/>
          <w:szCs w:val="20"/>
        </w:rPr>
        <w:t xml:space="preserve">Kinder und Jugendliche aus Migrantenfamilien im deutschen Bildungssystem. Erklärungen und empirische Befunde</w:t>
      </w:r>
      <w:r>
        <w:rPr>
          <w:rFonts w:cs="Calibri" w:eastAsia="FFScala" w:asciiTheme="minorHAnsi" w:hAnsiTheme="minorHAnsi"/>
          <w:color w:val="141314"/>
          <w:sz w:val="20"/>
          <w:szCs w:val="20"/>
        </w:rPr>
        <w:t xml:space="preserve">. 3. Auflage. Wiesbaden: VS Verlag für Sozialwissenschaften. </w:t>
      </w:r>
      <w:r>
        <w:rPr>
          <w:rFonts w:cs="Calibri" w:eastAsia="FFScala" w:asciiTheme="minorHAnsi" w:hAnsiTheme="minorHAnsi"/>
          <w:color w:val="141314"/>
          <w:sz w:val="20"/>
          <w:szCs w:val="20"/>
        </w:rPr>
        <w:br w:type="page"/>
      </w:r>
      <w:r/>
    </w:p>
    <w:p>
      <w:pPr>
        <w:pageBreakBefore/>
        <w:rPr>
          <w:rFonts w:cs="Calibri" w:asciiTheme="minorHAnsi" w:hAnsiTheme="minorHAnsi"/>
          <w:b/>
          <w:bCs/>
          <w:sz w:val="28"/>
          <w:szCs w:val="28"/>
        </w:rPr>
      </w:pPr>
      <w:r>
        <w:rPr>
          <w:rFonts w:cs="Calibri" w:asciiTheme="minorHAnsi" w:hAnsiTheme="minorHAnsi"/>
          <w:b/>
          <w:bCs/>
          <w:sz w:val="28"/>
          <w:szCs w:val="28"/>
        </w:rPr>
        <w:t xml:space="preserve">Institutionelle Regelungen</w:t>
      </w:r>
      <w:r/>
    </w:p>
    <w:p>
      <w:pPr>
        <w:rPr>
          <w:rFonts w:cs="Calibri" w:asciiTheme="minorHAnsi" w:hAnsiTheme="minorHAnsi"/>
          <w:b/>
          <w:bCs/>
        </w:rPr>
      </w:pPr>
      <w:r>
        <w:rPr>
          <w:rFonts w:cs="Calibri" w:asciiTheme="minorHAnsi" w:hAnsiTheme="minorHAnsi"/>
          <w:b/>
          <w:bCs/>
        </w:rPr>
      </w:r>
      <w:r/>
    </w:p>
    <w:p>
      <w:pPr>
        <w:rPr>
          <w:rFonts w:cs="Calibri" w:eastAsia="Times-Roman" w:asciiTheme="minorHAnsi" w:hAnsiTheme="minorHAnsi"/>
          <w:b/>
        </w:rPr>
      </w:pPr>
      <w:r>
        <w:rPr>
          <w:rFonts w:cs="Calibri" w:eastAsia="Times-Roman" w:asciiTheme="minorHAnsi" w:hAnsiTheme="minorHAnsi"/>
          <w:b/>
        </w:rPr>
        <w:t xml:space="preserve">Effekte des selektiven Schulsystems </w:t>
      </w:r>
      <w:r/>
    </w:p>
    <w:p>
      <w:pPr>
        <w:rPr>
          <w:rFonts w:cs="Times New Roman" w:eastAsia="Times-Roman" w:asciiTheme="minorHAnsi" w:hAnsiTheme="minorHAnsi"/>
        </w:rPr>
      </w:pPr>
      <w:r>
        <w:rPr>
          <w:rFonts w:cs="Times New Roman" w:eastAsia="Times-Roman" w:asciiTheme="minorHAnsi" w:hAnsiTheme="minorHAnsi"/>
        </w:rPr>
      </w:r>
      <w:r/>
    </w:p>
    <w:p>
      <w:pPr>
        <w:jc w:val="both"/>
        <w:rPr>
          <w:rFonts w:cs="Times New Roman" w:eastAsia="Times-Roman" w:asciiTheme="minorHAnsi" w:hAnsiTheme="minorHAnsi"/>
        </w:rPr>
      </w:pPr>
      <w:r>
        <w:rPr>
          <w:rFonts w:cs="Times New Roman" w:eastAsia="Times-Roman" w:asciiTheme="minorHAnsi" w:hAnsiTheme="minorHAnsi"/>
        </w:rPr>
        <w:t xml:space="preserve">Der Übergang von der Primar- in die Sekundarstufe ist insofern die wichtigste Bildungsentscheidung im gesamten Lebensv</w:t>
      </w:r>
      <w:r>
        <w:rPr>
          <w:rFonts w:cs="Times New Roman" w:eastAsia="Times-Roman" w:asciiTheme="minorHAnsi" w:hAnsiTheme="minorHAnsi"/>
        </w:rPr>
        <w:t xml:space="preserve">erlauf als sie die weitere Schullaufbahn eines Kindes entscheidend prägt: Beim Zugang zu beruflichen und – über diese vermittelt – zu gesellschaftlichen Positionen ist der Bildungsabschluss das entscheidende Selektionskriterium (vgl. hierzu Ditton 1992), u</w:t>
      </w:r>
      <w:r>
        <w:rPr>
          <w:rFonts w:cs="Times New Roman" w:eastAsia="Times-Roman" w:asciiTheme="minorHAnsi" w:hAnsiTheme="minorHAnsi"/>
        </w:rPr>
        <w:t xml:space="preserve">nd die unterschiedlichen Sekundarschultypen bieten unterschiedliche Qualifizierungen und dementsprechend unterschiedliche Bildungsabschlüsse an. Zwar sind Wechsel zwischen verschiedenen Sekundarschultypen möglich, aber die Durchlässigkeit des Sekundarschul</w:t>
      </w:r>
      <w:r>
        <w:rPr>
          <w:rFonts w:cs="Times New Roman" w:eastAsia="Times-Roman" w:asciiTheme="minorHAnsi" w:hAnsiTheme="minorHAnsi"/>
          <w:iCs/>
          <w:color w:val="141314"/>
        </w:rPr>
        <w:t xml:space="preserve">systems ist faktisch kaum gegeben, so dass die Wahl eines bestimmten Sekundarschultyps </w:t>
      </w:r>
      <w:r>
        <w:rPr>
          <w:rFonts w:cs="Times New Roman" w:eastAsia="Times-Roman" w:asciiTheme="minorHAnsi" w:hAnsiTheme="minorHAnsi"/>
        </w:rPr>
        <w:t xml:space="preserve">häufig einer Vorentscheidung über den zu erzielenden Schulabschluss gleichkommt. […]</w:t>
      </w:r>
      <w:r/>
    </w:p>
    <w:p>
      <w:pPr>
        <w:jc w:val="both"/>
        <w:rPr>
          <w:rFonts w:cs="Times New Roman" w:eastAsia="Times-Roman" w:asciiTheme="minorHAnsi" w:hAnsiTheme="minorHAnsi"/>
        </w:rPr>
      </w:pPr>
      <w:r>
        <w:rPr>
          <w:rFonts w:cs="Times New Roman" w:eastAsia="Times-Roman" w:asciiTheme="minorHAnsi" w:hAnsiTheme="minorHAnsi"/>
        </w:rPr>
      </w:r>
      <w:r/>
    </w:p>
    <w:p>
      <w:pPr>
        <w:jc w:val="both"/>
        <w:rPr>
          <w:rFonts w:cs="Times New Roman" w:eastAsia="Times-Roman" w:asciiTheme="minorHAnsi" w:hAnsiTheme="minorHAnsi"/>
        </w:rPr>
      </w:pPr>
      <w:r>
        <w:rPr>
          <w:rFonts w:cs="Times New Roman" w:eastAsia="Times-Roman" w:asciiTheme="minorHAnsi" w:hAnsiTheme="minorHAnsi"/>
        </w:rPr>
        <w:t xml:space="preserve">Abbildung 11 zeigt anhand der Daten des Soz</w:t>
      </w:r>
      <w:r>
        <w:rPr>
          <w:rFonts w:cs="Times New Roman" w:eastAsia="Times-Roman" w:asciiTheme="minorHAnsi" w:hAnsiTheme="minorHAnsi"/>
        </w:rPr>
        <w:t xml:space="preserve">ioökonomischen Panels, wie groß die prozentualen Anteile von Kindern aus Migrantenfamilien und Kindern aus deutschen Familien sind, die irgendwann im Zeitraum zwischen 1985 und 2006 von der Grundschule auf bestimmte Schultypen der Sekundarstufe wechselten.</w:t>
      </w:r>
      <w:r/>
    </w:p>
    <w:p>
      <w:pPr>
        <w:jc w:val="both"/>
        <w:rPr>
          <w:rFonts w:cs="Calibri" w:eastAsia="Times-Roman" w:asciiTheme="minorHAnsi" w:hAnsiTheme="minorHAnsi"/>
        </w:rPr>
      </w:pPr>
      <w:r>
        <w:rPr>
          <w:rFonts w:cs="Calibri" w:eastAsia="Times-Roman" w:asciiTheme="minorHAnsi" w:hAnsiTheme="minorHAnsi"/>
          <w:lang w:eastAsia="de-DE"/>
        </w:rPr>
        <mc:AlternateContent>
          <mc:Choice Requires="wpg">
            <w:drawing>
              <wp:inline xmlns:wp="http://schemas.openxmlformats.org/drawingml/2006/wordprocessingDrawing" distT="0" distB="0" distL="0" distR="0">
                <wp:extent cx="5257800" cy="3886200"/>
                <wp:effectExtent l="0" t="0" r="0" b="0"/>
                <wp:docPr id="2"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hidden="0"/>
                        <pic:cNvPicPr>
                          <a:picLocks noChangeAspect="1"/>
                        </pic:cNvPicPr>
                        <pic:nvPr isPhoto="0" userDrawn="0"/>
                      </pic:nvPicPr>
                      <pic:blipFill>
                        <a:blip r:embed="rId14"/>
                        <a:stretch/>
                      </pic:blipFill>
                      <pic:spPr bwMode="auto">
                        <a:xfrm>
                          <a:off x="0" y="0"/>
                          <a:ext cx="5257800" cy="3886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14.0pt;height:306.0pt;" stroked="f">
                <v:path textboxrect="0,0,0,0"/>
                <v:imagedata r:id="rId14" o:title=""/>
              </v:shape>
            </w:pict>
          </mc:Fallback>
        </mc:AlternateContent>
      </w:r>
      <w:r/>
    </w:p>
    <w:p>
      <w:pPr>
        <w:jc w:val="both"/>
        <w:rPr>
          <w:rFonts w:cs="Calibri" w:eastAsia="Times-Roman" w:asciiTheme="minorHAnsi" w:hAnsiTheme="minorHAnsi"/>
          <w:i/>
          <w:iCs/>
          <w:color w:val="141314"/>
        </w:rPr>
      </w:pPr>
      <w:r>
        <w:rPr>
          <w:rFonts w:cs="Calibri" w:eastAsia="Times-Roman" w:asciiTheme="minorHAnsi" w:hAnsiTheme="minorHAnsi"/>
          <w:i/>
          <w:iCs/>
          <w:color w:val="141314"/>
        </w:rPr>
      </w:r>
      <w:r/>
    </w:p>
    <w:p>
      <w:pPr>
        <w:rPr>
          <w:rFonts w:cs="Calibri" w:eastAsia="FFScala" w:asciiTheme="minorHAnsi" w:hAnsiTheme="minorHAnsi"/>
          <w:bCs/>
          <w:color w:val="141314"/>
        </w:rPr>
      </w:pPr>
      <w:r>
        <w:rPr>
          <w:rFonts w:cs="Calibri" w:eastAsia="FFScala" w:asciiTheme="minorHAnsi" w:hAnsiTheme="minorHAnsi"/>
          <w:bCs/>
          <w:color w:val="141314"/>
        </w:rPr>
        <w:t xml:space="preserve">(Diefenbach 2010, S. 54-56)</w:t>
      </w:r>
      <w:r/>
    </w:p>
    <w:p>
      <w:pPr>
        <w:rPr>
          <w:rFonts w:cs="Calibri" w:eastAsia="FFScala" w:asciiTheme="minorHAnsi" w:hAnsiTheme="minorHAnsi"/>
          <w:bCs/>
          <w:i/>
          <w:color w:val="141314"/>
        </w:rPr>
      </w:pPr>
      <w:r>
        <w:rPr>
          <w:rFonts w:cs="Calibri" w:eastAsia="FFScala" w:asciiTheme="minorHAnsi" w:hAnsiTheme="minorHAnsi"/>
          <w:bCs/>
          <w:i/>
          <w:color w:val="141314"/>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t xml:space="preserve">Literatur</w:t>
      </w:r>
      <w:r/>
    </w:p>
    <w:p>
      <w:pPr>
        <w:ind w:left="709" w:hanging="709"/>
        <w:jc w:val="both"/>
        <w:rPr>
          <w:rFonts w:cs="Calibri" w:eastAsia="FFScala" w:asciiTheme="minorHAnsi" w:hAnsiTheme="minorHAnsi"/>
          <w:color w:val="141314"/>
          <w:sz w:val="20"/>
          <w:szCs w:val="20"/>
        </w:rPr>
      </w:pPr>
      <w:r>
        <w:rPr>
          <w:rFonts w:cs="Calibri" w:eastAsia="FFScala" w:asciiTheme="minorHAnsi" w:hAnsiTheme="minorHAnsi"/>
          <w:color w:val="141314"/>
          <w:sz w:val="20"/>
          <w:szCs w:val="20"/>
        </w:rPr>
        <w:t xml:space="preserve">Diefenbach, H. (2010). </w:t>
      </w:r>
      <w:r>
        <w:rPr>
          <w:rFonts w:cs="Calibri" w:eastAsia="FFScala" w:asciiTheme="minorHAnsi" w:hAnsiTheme="minorHAnsi"/>
          <w:i/>
          <w:color w:val="141314"/>
          <w:sz w:val="20"/>
          <w:szCs w:val="20"/>
        </w:rPr>
        <w:t xml:space="preserve">Kinder und Jugendliche aus Migrantenfamilien im deutschen Bildungssystem. Erklärungen und empirische Befunde</w:t>
      </w:r>
      <w:r>
        <w:rPr>
          <w:rFonts w:cs="Calibri" w:eastAsia="FFScala" w:asciiTheme="minorHAnsi" w:hAnsiTheme="minorHAnsi"/>
          <w:color w:val="141314"/>
          <w:sz w:val="20"/>
          <w:szCs w:val="20"/>
        </w:rPr>
        <w:t xml:space="preserve">. 3. Auflage. Wiesbaden: VS Verlag für Sozialwissenschaften. </w:t>
      </w:r>
      <w:r>
        <w:rPr>
          <w:rFonts w:cs="Calibri" w:eastAsia="FFScala" w:asciiTheme="minorHAnsi" w:hAnsiTheme="minorHAnsi"/>
          <w:color w:val="141314"/>
          <w:sz w:val="20"/>
          <w:szCs w:val="20"/>
        </w:rPr>
        <w:br w:type="page"/>
      </w:r>
      <w:r/>
    </w:p>
    <w:p>
      <w:pPr>
        <w:pageBreakBefore/>
        <w:rPr>
          <w:rFonts w:cs="Calibri" w:asciiTheme="minorHAnsi" w:hAnsiTheme="minorHAnsi"/>
          <w:b/>
          <w:bCs/>
          <w:sz w:val="28"/>
          <w:szCs w:val="28"/>
        </w:rPr>
      </w:pPr>
      <w:r>
        <w:rPr>
          <w:rFonts w:cs="Calibri" w:asciiTheme="minorHAnsi" w:hAnsiTheme="minorHAnsi"/>
          <w:b/>
          <w:bCs/>
          <w:sz w:val="28"/>
          <w:szCs w:val="28"/>
        </w:rPr>
        <w:t xml:space="preserve">Institutionelle Regelungen</w:t>
      </w:r>
      <w:r/>
    </w:p>
    <w:p>
      <w:pPr>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b/>
        </w:rPr>
      </w:pPr>
      <w:r>
        <w:rPr>
          <w:rFonts w:cs="Calibri" w:eastAsia="Times-Roman" w:asciiTheme="minorHAnsi" w:hAnsiTheme="minorHAnsi"/>
          <w:b/>
        </w:rPr>
        <w:t xml:space="preserve">Zusammensetzung der Schülerschaft</w:t>
      </w:r>
      <w:r/>
    </w:p>
    <w:p>
      <w:pPr>
        <w:jc w:val="both"/>
        <w:rPr>
          <w:rFonts w:cs="Calibri" w:eastAsia="Times-Roman" w:asciiTheme="minorHAnsi" w:hAnsiTheme="minorHAnsi"/>
        </w:rPr>
      </w:pPr>
      <w:r>
        <w:rPr>
          <w:rFonts w:cs="Calibri" w:eastAsia="Times-Roman" w:asciiTheme="minorHAnsi" w:hAnsiTheme="minorHAnsi"/>
        </w:rPr>
      </w:r>
      <w:r/>
    </w:p>
    <w:p>
      <w:pPr>
        <w:jc w:val="both"/>
        <w:rPr>
          <w:rFonts w:cs="Times New Roman" w:eastAsia="Times-Roman" w:asciiTheme="minorHAnsi" w:hAnsiTheme="minorHAnsi"/>
        </w:rPr>
      </w:pPr>
      <w:r>
        <w:rPr>
          <w:rFonts w:cs="Times New Roman" w:eastAsia="Times-Roman" w:asciiTheme="minorHAnsi" w:hAnsiTheme="minorHAnsi"/>
        </w:rPr>
        <w:t xml:space="preserve">Damit ist ein weiteres Kontextmerkmal schulischen Lernens angesprochen, das in der Forschung</w:t>
      </w:r>
      <w:r/>
    </w:p>
    <w:p>
      <w:pPr>
        <w:jc w:val="both"/>
        <w:rPr>
          <w:rFonts w:cs="Times New Roman" w:eastAsia="Times-Roman" w:asciiTheme="minorHAnsi" w:hAnsiTheme="minorHAnsi"/>
        </w:rPr>
      </w:pPr>
      <w:r>
        <w:rPr>
          <w:rFonts w:cs="Times New Roman" w:eastAsia="Times-Roman" w:asciiTheme="minorHAnsi" w:hAnsiTheme="minorHAnsi"/>
        </w:rPr>
        <w:t xml:space="preserve">Beachtung gefunden hat, nämlich die </w:t>
      </w:r>
      <w:r>
        <w:rPr>
          <w:rFonts w:cs="Times New Roman" w:eastAsia="Times-Roman" w:asciiTheme="minorHAnsi" w:hAnsiTheme="minorHAnsi"/>
          <w:bCs/>
        </w:rPr>
        <w:t xml:space="preserve">Zusammensetzung der Schülerschaft in einer Schule und in den Klassen</w:t>
      </w:r>
      <w:r>
        <w:rPr>
          <w:rFonts w:cs="Times New Roman" w:eastAsia="Times-Roman" w:asciiTheme="minorHAnsi" w:hAnsiTheme="minorHAnsi"/>
        </w:rPr>
        <w:t xml:space="preserve">, in denen unterrichtet wird. Im Rahmen der vorliegenden Arbeit ist insbesondere die ethnische Zusammensetzung von Schulklassen von Interesse, ü</w:t>
      </w:r>
      <w:r>
        <w:rPr>
          <w:rFonts w:cs="Times New Roman" w:eastAsia="Times-Roman" w:asciiTheme="minorHAnsi" w:hAnsiTheme="minorHAnsi"/>
        </w:rPr>
        <w:t xml:space="preserve">ber deren Effekte auf den Schulerfolg in der Literatur einige Erwartungen formuliert worden sind. Die Grundidee, die diesen Zusammenhang plausibel machen soll, ist, dass die ethnische Zusammensetzung der Schülerschaft nicht direkt auf den Schulerfolg einze</w:t>
      </w:r>
      <w:r>
        <w:rPr>
          <w:rFonts w:cs="Times New Roman" w:eastAsia="Times-Roman" w:asciiTheme="minorHAnsi" w:hAnsiTheme="minorHAnsi"/>
        </w:rPr>
        <w:t xml:space="preserve">lner Schüler wirkt, sondern vermittelt über verschiedene Größen, wie z.B. die Entwicklung spezifischer Gruppennormen und Normalitätsstandards (Caldas &amp; Bankston 1998) oder die Qualität des Unterrichtes (Rüesch 1998). Die wenigen deutschen Studien, die den </w:t>
      </w:r>
      <w:r>
        <w:rPr>
          <w:rFonts w:cs="Times New Roman" w:eastAsia="Times-Roman" w:asciiTheme="minorHAnsi" w:hAnsiTheme="minorHAnsi"/>
          <w:bCs/>
        </w:rPr>
        <w:t xml:space="preserve">Zusammenhang zwischen ethnischer Zusammensetzung von Schulklassen und dem Schulerfolg</w:t>
      </w:r>
      <w:r>
        <w:rPr>
          <w:rFonts w:cs="Times New Roman" w:eastAsia="Times-Roman" w:asciiTheme="minorHAnsi" w:hAnsiTheme="minorHAnsi"/>
        </w:rPr>
        <w:t xml:space="preserve"> der Schüler in diesen Klassen untersucht haben, haben einen solchen tatsächlich belegen können, aber nicht in konsistenter Weise:</w:t>
      </w:r>
      <w:r/>
    </w:p>
    <w:p>
      <w:pPr>
        <w:jc w:val="both"/>
        <w:rPr>
          <w:rFonts w:cs="Times New Roman" w:eastAsia="Times-Roman" w:asciiTheme="minorHAnsi" w:hAnsiTheme="minorHAnsi"/>
        </w:rPr>
      </w:pPr>
      <w:r>
        <w:rPr>
          <w:rFonts w:cs="Times New Roman" w:eastAsia="Times-Roman" w:asciiTheme="minorHAnsi" w:hAnsiTheme="minorHAnsi"/>
        </w:rPr>
      </w:r>
      <w:r/>
    </w:p>
    <w:p>
      <w:pPr>
        <w:jc w:val="both"/>
        <w:rPr>
          <w:rFonts w:cs="Times New Roman" w:eastAsia="Times-Roman" w:asciiTheme="minorHAnsi" w:hAnsiTheme="minorHAnsi"/>
        </w:rPr>
      </w:pPr>
      <w:r>
        <w:rPr>
          <w:rFonts w:cs="Times New Roman" w:eastAsia="Times-Roman" w:asciiTheme="minorHAnsi" w:hAnsiTheme="minorHAnsi"/>
        </w:rPr>
        <w:t xml:space="preserve">Im Rahmen der PISA 2000-E-Studie wurde festgestellt, dass in Schulen ab einem Anteil von 20% Schülern mit Migrationshintergrund, deren Umgangssprache in de</w:t>
      </w:r>
      <w:r>
        <w:rPr>
          <w:rFonts w:cs="Times New Roman" w:eastAsia="Times-Roman" w:asciiTheme="minorHAnsi" w:hAnsiTheme="minorHAnsi"/>
        </w:rPr>
        <w:t xml:space="preserve">r Familie nicht Deutsch ist, schwächere Leistungen im Lesen erzielt wurden, mit einem höheren Anteil von Schülern mit Migrationshintergrund aber keine weitere Verschlechterung der erzielten Leistungen einhergeht (Stanat 2003, S. 256). Auf der Ebene der einzel</w:t>
      </w:r>
      <w:r>
        <w:rPr>
          <w:rFonts w:cs="Times New Roman" w:eastAsia="Times-Roman" w:asciiTheme="minorHAnsi" w:hAnsiTheme="minorHAnsi"/>
        </w:rPr>
        <w:t xml:space="preserve">nen Bundesländer lässt sich ebenfalls kein linearer Zusammenhang zwischen dem prozentualen Anteil von Schülern aus Migrantenfamilien in den Schulen und dem im Durchschnitt erreichten Leistungsniveau ausmachen: “Für einige Länder scheint zwar ein solcher Tr</w:t>
      </w:r>
      <w:r>
        <w:rPr>
          <w:rFonts w:cs="Times New Roman" w:eastAsia="Times-Roman" w:asciiTheme="minorHAnsi" w:hAnsiTheme="minorHAnsi"/>
        </w:rPr>
        <w:t xml:space="preserve">end zu erkennen zu sein, dieser wird jedoch wiederum durch die mittleren Leistungsergebnisse im Saarland und in Schleswig-Holstein durchbrochen, die trotz des eher geringen Migrantenanteils in ihren Schulen vergleichsweise niedrig sind” (Stanat 2003, S. 258).</w:t>
      </w:r>
      <w:r/>
    </w:p>
    <w:p>
      <w:pPr>
        <w:jc w:val="both"/>
        <w:rPr>
          <w:rFonts w:cs="Calibri" w:eastAsia="Times-Roman" w:asciiTheme="minorHAnsi" w:hAnsiTheme="minorHAnsi"/>
          <w:bCs/>
          <w:i/>
        </w:rPr>
      </w:pPr>
      <w:r>
        <w:rPr>
          <w:rFonts w:cs="Calibri" w:eastAsia="Times-Roman" w:asciiTheme="minorHAnsi" w:hAnsiTheme="minorHAnsi"/>
          <w:bCs/>
          <w:i/>
        </w:rPr>
      </w:r>
      <w:r/>
    </w:p>
    <w:p>
      <w:pPr>
        <w:jc w:val="both"/>
        <w:rPr>
          <w:rFonts w:cs="Calibri" w:eastAsia="Times-Roman" w:asciiTheme="minorHAnsi" w:hAnsiTheme="minorHAnsi"/>
          <w:bCs/>
        </w:rPr>
      </w:pPr>
      <w:r>
        <w:rPr>
          <w:rFonts w:cs="Calibri" w:eastAsia="Times-Roman" w:asciiTheme="minorHAnsi" w:hAnsiTheme="minorHAnsi"/>
          <w:bCs/>
        </w:rPr>
        <w:t xml:space="preserve">(Diefenbach 2010, S. 135)</w:t>
      </w:r>
      <w:r/>
    </w:p>
    <w:p>
      <w:pPr>
        <w:jc w:val="both"/>
        <w:rPr>
          <w:rFonts w:cs="Calibri" w:eastAsia="Times-Roman" w:asciiTheme="minorHAnsi" w:hAnsiTheme="minorHAnsi"/>
          <w:bCs/>
          <w:i/>
        </w:rPr>
      </w:pPr>
      <w:r>
        <w:rPr>
          <w:rFonts w:cs="Calibri" w:eastAsia="Times-Roman" w:asciiTheme="minorHAnsi" w:hAnsiTheme="minorHAnsi"/>
          <w:bCs/>
          <w: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rPr>
      </w:pPr>
      <w:r>
        <w:rPr>
          <w:rFonts w:cs="Calibri" w:eastAsia="Times-Roman" w:asciiTheme="minorHAnsi" w:hAnsiTheme="minorHAnsi"/>
        </w:rPr>
      </w:r>
      <w:r/>
    </w:p>
    <w:p>
      <w:pPr>
        <w:rPr>
          <w:rFonts w:cs="Calibri" w:eastAsia="Times-Roman" w:asciiTheme="minorHAnsi" w:hAnsiTheme="minorHAnsi"/>
        </w:rPr>
      </w:pPr>
      <w:r>
        <w:rPr>
          <w:rFonts w:cs="Calibri" w:eastAsia="Times-Roman" w:asciiTheme="minorHAnsi" w:hAnsiTheme="minorHAnsi"/>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t xml:space="preserve">Literatur</w:t>
      </w:r>
      <w:r/>
    </w:p>
    <w:p>
      <w:pPr>
        <w:ind w:left="709" w:hanging="709"/>
        <w:jc w:val="both"/>
        <w:rPr>
          <w:rFonts w:cs="Calibri" w:eastAsia="FFScala" w:asciiTheme="minorHAnsi" w:hAnsiTheme="minorHAnsi"/>
          <w:color w:val="141314"/>
          <w:sz w:val="20"/>
          <w:szCs w:val="20"/>
        </w:rPr>
      </w:pPr>
      <w:r>
        <w:rPr>
          <w:rFonts w:cs="Calibri" w:eastAsia="FFScala" w:asciiTheme="minorHAnsi" w:hAnsiTheme="minorHAnsi"/>
          <w:color w:val="141314"/>
          <w:sz w:val="20"/>
          <w:szCs w:val="20"/>
        </w:rPr>
        <w:t xml:space="preserve">Diefenbach, H. (2010). </w:t>
      </w:r>
      <w:r>
        <w:rPr>
          <w:rFonts w:cs="Calibri" w:eastAsia="FFScala" w:asciiTheme="minorHAnsi" w:hAnsiTheme="minorHAnsi"/>
          <w:i/>
          <w:color w:val="141314"/>
          <w:sz w:val="20"/>
          <w:szCs w:val="20"/>
        </w:rPr>
        <w:t xml:space="preserve">Kinder und Jugendliche aus Migrantenfamilien im deutschen Bildungssystem. Erklärungen und empirische Befunde</w:t>
      </w:r>
      <w:r>
        <w:rPr>
          <w:rFonts w:cs="Calibri" w:eastAsia="FFScala" w:asciiTheme="minorHAnsi" w:hAnsiTheme="minorHAnsi"/>
          <w:color w:val="141314"/>
          <w:sz w:val="20"/>
          <w:szCs w:val="20"/>
        </w:rPr>
        <w:t xml:space="preserve">. 3. Auflage. Wiesbaden: VS Verlag für Sozialwissenschaften. </w:t>
      </w:r>
      <w:r>
        <w:rPr>
          <w:rFonts w:cs="Calibri" w:eastAsia="FFScala" w:asciiTheme="minorHAnsi" w:hAnsiTheme="minorHAnsi"/>
          <w:color w:val="141314"/>
          <w:sz w:val="20"/>
          <w:szCs w:val="20"/>
        </w:rPr>
        <w:br w:type="page"/>
      </w:r>
      <w:r/>
    </w:p>
    <w:p>
      <w:pPr>
        <w:pageBreakBefore/>
        <w:rPr>
          <w:rFonts w:cs="Calibri" w:asciiTheme="minorHAnsi" w:hAnsiTheme="minorHAnsi"/>
          <w:b/>
          <w:bCs/>
          <w:sz w:val="28"/>
          <w:szCs w:val="28"/>
        </w:rPr>
      </w:pPr>
      <w:r>
        <w:rPr>
          <w:rFonts w:cs="Calibri" w:asciiTheme="minorHAnsi" w:hAnsiTheme="minorHAnsi"/>
          <w:b/>
          <w:bCs/>
          <w:sz w:val="28"/>
          <w:szCs w:val="28"/>
        </w:rPr>
        <w:t xml:space="preserve">Einflüsse von Diskriminierungen</w:t>
      </w:r>
      <w:r/>
    </w:p>
    <w:p>
      <w:pPr>
        <w:rPr>
          <w:rFonts w:cs="Calibri" w:eastAsia="Times-Roman" w:asciiTheme="minorHAnsi" w:hAnsiTheme="minorHAnsi"/>
        </w:rPr>
      </w:pPr>
      <w:r>
        <w:rPr>
          <w:rFonts w:cs="Calibri" w:eastAsia="Times-Roman" w:asciiTheme="minorHAnsi" w:hAnsiTheme="minorHAnsi"/>
        </w:rPr>
      </w:r>
      <w:r/>
    </w:p>
    <w:p>
      <w:pPr>
        <w:jc w:val="both"/>
        <w:rPr>
          <w:rFonts w:cs="Times New Roman" w:eastAsia="Times-Roman" w:asciiTheme="minorHAnsi" w:hAnsiTheme="minorHAnsi"/>
          <w:bCs/>
        </w:rPr>
      </w:pPr>
      <w:r>
        <w:rPr>
          <w:rFonts w:cs="Times New Roman" w:eastAsia="Times-Roman" w:asciiTheme="minorHAnsi" w:hAnsiTheme="minorHAnsi"/>
        </w:rPr>
        <w:t xml:space="preserve">Gewöhnlich geht mit dem Diskriminierungsbegriff die Vorstellung von einer ungerechtfertigten Ungleichbehandlung einher: “Die Objekte/Opfer müssen Merkmale haben, die sie diskriminierbar machen und eine sozial folgenreiche Ungleichbehandlung ermögliche</w:t>
      </w:r>
      <w:r>
        <w:rPr>
          <w:rFonts w:cs="Times New Roman" w:eastAsia="Times-Roman" w:asciiTheme="minorHAnsi" w:hAnsiTheme="minorHAnsi"/>
        </w:rPr>
        <w:t xml:space="preserve">n. Insofern setzt Diskriminierung eine asymmetrisch angelegte Interaktionssituation voraus, in der soziale Ordnungen hergestellt und fortgeschrieben werden” (Gomolla &amp; Radtke 2002, S. 12). Heckmann definiert Verhaltensdiskriminierung in Bezug auf Angehörige e</w:t>
      </w:r>
      <w:r>
        <w:rPr>
          <w:rFonts w:cs="Times New Roman" w:eastAsia="Times-Roman" w:asciiTheme="minorHAnsi" w:hAnsiTheme="minorHAnsi"/>
        </w:rPr>
        <w:t xml:space="preserve">thnischer Minderheiten kurz und knapp: “Verhaltensdiskriminierung bedeutet ein individuelles oder kollektives Verhalten gegenüber ethnischen Minderheitenangehörigen, das universalistische und Gleichheitsgrundsätze verletzt” (Heckmann 1992, S. 125). Wenn z.B. </w:t>
      </w:r>
      <w:r>
        <w:rPr>
          <w:rFonts w:cs="Times New Roman" w:eastAsia="Times-Roman" w:asciiTheme="minorHAnsi" w:hAnsiTheme="minorHAnsi"/>
          <w:bCs/>
        </w:rPr>
        <w:t xml:space="preserve">weiße Lehrer schwarze Schüler seltener loben, ihnen seltener Hilfestellungen geben oder sie häufiger kritisieren als weiße Schüler</w:t>
      </w:r>
      <w:r>
        <w:rPr>
          <w:rFonts w:cs="Times New Roman" w:eastAsia="Times-Roman" w:asciiTheme="minorHAnsi" w:hAnsiTheme="minorHAnsi"/>
        </w:rPr>
        <w:t xml:space="preserve">, so handelt es sich um diskriminierendes Verhalten im Sinne dieser Definitionen auf Seiten der Lehrer unabhängig davon, ob die Lehrer sich ih</w:t>
      </w:r>
      <w:r>
        <w:rPr>
          <w:rFonts w:cs="Times New Roman" w:eastAsia="Times-Roman" w:asciiTheme="minorHAnsi" w:hAnsiTheme="minorHAnsi"/>
        </w:rPr>
        <w:t xml:space="preserve">res Verhaltens bewusst sind oder nicht. Diskriminierendes Verhalten eines Einzelnen (oder jedes einzelnen) Lehrers setzt also keineswegs Böswilligkeit voraus. […] Diskriminierende Verhaltensweisen müssen auch nicht notwendigerweise an die Person des Diskri</w:t>
      </w:r>
      <w:r>
        <w:rPr>
          <w:rFonts w:cs="Times New Roman" w:eastAsia="Times-Roman" w:asciiTheme="minorHAnsi" w:hAnsiTheme="minorHAnsi"/>
        </w:rPr>
        <w:t xml:space="preserve">minierenden gebunden sein; sie können vielmehr in Organisationsstrukturen verwirklicht sein, wie z.B. in Verfahrensvorschriften. Die Person z.B. eines Sachbearbeiters, der entsprechend dieser Verfahrensvorschriften handeln soll, ist als solche irrelevant. </w:t>
      </w:r>
      <w:r>
        <w:rPr>
          <w:rFonts w:cs="Times New Roman" w:eastAsia="Times-Roman" w:asciiTheme="minorHAnsi" w:hAnsiTheme="minorHAnsi"/>
          <w:bCs/>
        </w:rPr>
        <w:t xml:space="preserve">Die Erklärung der Nachteile von Kindern und Jugendlichen aus Migrantenfamilien durch Diskriminierung hat beide Varianten, individuelle und institutionelle Diskriminierung, zu berücksichtigen</w:t>
      </w:r>
      <w:r>
        <w:rPr>
          <w:rFonts w:cs="Times New Roman" w:eastAsia="Times-Roman" w:asciiTheme="minorHAnsi" w:hAnsiTheme="minorHAnsi"/>
        </w:rPr>
        <w:t xml:space="preserve">. </w:t>
      </w:r>
      <w:r>
        <w:rPr>
          <w:rFonts w:cs="Times New Roman" w:eastAsia="Times-Roman" w:asciiTheme="minorHAnsi" w:hAnsiTheme="minorHAnsi"/>
          <w:iCs/>
        </w:rPr>
        <w:t xml:space="preserve">[…]</w:t>
      </w:r>
      <w:r/>
    </w:p>
    <w:p>
      <w:pPr>
        <w:jc w:val="both"/>
        <w:rPr>
          <w:rFonts w:cs="Times New Roman" w:eastAsia="Times-Roman" w:asciiTheme="minorHAnsi" w:hAnsiTheme="minorHAnsi"/>
        </w:rPr>
      </w:pPr>
      <w:r>
        <w:rPr>
          <w:rFonts w:cs="Times New Roman" w:eastAsia="Times-Roman" w:asciiTheme="minorHAnsi" w:hAnsiTheme="minorHAnsi"/>
        </w:rPr>
      </w:r>
      <w:r/>
    </w:p>
    <w:p>
      <w:pPr>
        <w:jc w:val="both"/>
        <w:rPr>
          <w:rFonts w:cs="Times New Roman" w:eastAsia="Times-Roman" w:asciiTheme="minorHAnsi" w:hAnsiTheme="minorHAnsi"/>
        </w:rPr>
      </w:pPr>
      <w:r>
        <w:rPr>
          <w:rFonts w:cs="Times New Roman" w:eastAsia="Times-Roman" w:asciiTheme="minorHAnsi" w:hAnsiTheme="minorHAnsi"/>
        </w:rPr>
        <w:t xml:space="preserve">Die These, nach der die Nachteile von Kindern und Jugendlichen aus Migrantenfamilien auf institutionelle Diskriminierung im deutschen System schulischer Bildung zurückzuführen ist, beruht</w:t>
      </w:r>
      <w:r>
        <w:rPr>
          <w:rFonts w:cs="Times New Roman" w:eastAsia="Times-Roman" w:asciiTheme="minorHAnsi" w:hAnsiTheme="minorHAnsi"/>
        </w:rPr>
        <w:t xml:space="preserve"> auf der Annahme, dass Schulleistungen nicht einfach von Schülern im Rahmen eines vorgegebenen Kontextes und aufgrund ihrer individuellen Leistungsfähigkeit erbracht werden, die wiederum von verschiedenen ihrer persönlichen Merkmale abhängt; vielmehr sind </w:t>
      </w:r>
      <w:r>
        <w:rPr>
          <w:rFonts w:cs="Times New Roman" w:eastAsia="Times-Roman" w:asciiTheme="minorHAnsi" w:hAnsiTheme="minorHAnsi"/>
          <w:bCs/>
        </w:rPr>
        <w:t xml:space="preserve">Schulleistungen bzw. Schulerfolg organisationsabhängig oder: Schulleistungen werden hier nicht (nur) als Leistungen der Schüler, sondern (auch) als Leistungen von Schulen bzw. des Schulsystems aufgefasst.</w:t>
      </w:r>
      <w:r/>
    </w:p>
    <w:p>
      <w:pPr>
        <w:rPr>
          <w:rFonts w:cs="Calibri" w:eastAsia="Times-Roman" w:asciiTheme="minorHAnsi" w:hAnsiTheme="minorHAnsi"/>
        </w:rPr>
      </w:pPr>
      <w:r>
        <w:rPr>
          <w:rFonts w:cs="Calibri" w:eastAsia="Times-Roman" w:asciiTheme="minorHAnsi" w:hAnsiTheme="minorHAnsi"/>
        </w:rPr>
      </w:r>
      <w:r/>
    </w:p>
    <w:p>
      <w:pPr>
        <w:rPr>
          <w:rFonts w:cs="Calibri" w:eastAsia="Times-Roman" w:asciiTheme="minorHAnsi" w:hAnsiTheme="minorHAnsi"/>
        </w:rPr>
      </w:pPr>
      <w:r>
        <w:rPr>
          <w:rFonts w:cs="Calibri" w:eastAsia="Times-Roman" w:asciiTheme="minorHAnsi" w:hAnsiTheme="minorHAnsi"/>
        </w:rPr>
        <w:t xml:space="preserve">(Diefenbach 2010, S. 140-141)</w:t>
      </w:r>
      <w:r/>
    </w:p>
    <w:p>
      <w:pPr>
        <w:rPr>
          <w:rFonts w:cs="Calibri" w:eastAsia="Times-Roman" w:asciiTheme="minorHAnsi" w:hAnsiTheme="minorHAnsi"/>
        </w:rPr>
      </w:pPr>
      <w:r>
        <w:rPr>
          <w:rFonts w:cs="Calibri" w:eastAsia="Times-Roman" w:asciiTheme="minorHAnsi" w:hAnsiTheme="minorHAns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Times-Roman" w:asciiTheme="minorHAnsi" w:hAnsiTheme="minorHAnsi"/>
          <w:i/>
        </w:rPr>
      </w:pPr>
      <w:r>
        <w:rPr>
          <w:rFonts w:cs="Calibri" w:eastAsia="Times-Roman" w:asciiTheme="minorHAnsi" w:hAnsiTheme="minorHAnsi"/>
          <w:i/>
        </w:rPr>
      </w:r>
      <w:r/>
    </w:p>
    <w:p>
      <w:pPr>
        <w:jc w:val="both"/>
        <w:rPr>
          <w:rFonts w:cs="Calibri" w:eastAsia="FFScala" w:asciiTheme="minorHAnsi" w:hAnsiTheme="minorHAnsi"/>
          <w:b/>
          <w:color w:val="141314"/>
          <w:sz w:val="20"/>
          <w:szCs w:val="20"/>
        </w:rPr>
      </w:pPr>
      <w:r>
        <w:rPr>
          <w:rFonts w:cs="Calibri" w:eastAsia="FFScala" w:asciiTheme="minorHAnsi" w:hAnsiTheme="minorHAnsi"/>
          <w:b/>
          <w:color w:val="141314"/>
          <w:sz w:val="20"/>
          <w:szCs w:val="20"/>
        </w:rPr>
        <w:t xml:space="preserve">Literatur</w:t>
      </w:r>
      <w:r/>
    </w:p>
    <w:p>
      <w:pPr>
        <w:ind w:left="709" w:hanging="709"/>
        <w:jc w:val="both"/>
        <w:rPr>
          <w:rFonts w:cs="Open Sans" w:asciiTheme="minorHAnsi" w:hAnsiTheme="minorHAnsi"/>
          <w:sz w:val="20"/>
          <w:szCs w:val="20"/>
        </w:rPr>
      </w:pPr>
      <w:r>
        <w:rPr>
          <w:rFonts w:cs="Calibri" w:eastAsia="FFScala" w:asciiTheme="minorHAnsi" w:hAnsiTheme="minorHAnsi"/>
          <w:color w:val="141314"/>
          <w:sz w:val="20"/>
          <w:szCs w:val="20"/>
        </w:rPr>
        <w:t xml:space="preserve">Diefenbach, H. (2010). </w:t>
      </w:r>
      <w:r>
        <w:rPr>
          <w:rFonts w:cs="Calibri" w:eastAsia="FFScala" w:asciiTheme="minorHAnsi" w:hAnsiTheme="minorHAnsi"/>
          <w:i/>
          <w:color w:val="141314"/>
          <w:sz w:val="20"/>
          <w:szCs w:val="20"/>
        </w:rPr>
        <w:t xml:space="preserve">Kinder und Jugendliche aus Migrantenfamilien im deutschen Bildungssystem. Erklärungen und empirische Befunde.</w:t>
      </w:r>
      <w:r>
        <w:rPr>
          <w:rFonts w:cs="Calibri" w:eastAsia="FFScala" w:asciiTheme="minorHAnsi" w:hAnsiTheme="minorHAnsi"/>
          <w:color w:val="141314"/>
          <w:sz w:val="20"/>
          <w:szCs w:val="20"/>
        </w:rPr>
        <w:t xml:space="preserve"> 3. Auflage. Wiesbaden: VS Verlag für Sozialwissenschaften. </w:t>
      </w:r>
      <w:r/>
    </w:p>
    <w:sectPr>
      <w:headerReference w:type="default" r:id="rId8"/>
      <w:headerReference w:type="even" r:id="rId9"/>
      <w:headerReference w:type="first" r:id="rId10"/>
      <w:footerReference w:type="default" r:id="rId11"/>
      <w:footerReference w:type="even" r:id="rId12"/>
      <w:footerReference w:type="first" r:id="rId13"/>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italic">
    <w:panose1 w:val="020B0603030804020204"/>
  </w:font>
  <w:font w:name="ffscala">
    <w:panose1 w:val="020B0603030804020204"/>
  </w:font>
  <w:font w:name="Times New Roman">
    <w:panose1 w:val="02020603050405020304"/>
  </w:font>
  <w:font w:name="times-roman">
    <w:panose1 w:val="020B0603030804020204"/>
  </w:font>
  <w:font w:name="Calibri">
    <w:panose1 w:val="020F0502020204030204"/>
  </w:font>
  <w:font w:name="Open Sans">
    <w:panose1 w:val="020B0606030504020204"/>
  </w:font>
  <w:font w:name="rotis sans serif std light">
    <w:panose1 w:val="020B0603030804020204"/>
  </w:font>
  <w:font w:name="Arial">
    <w:panose1 w:val="020B0604020202020204"/>
  </w:font>
  <w:font w:name="ffscala-italic">
    <w:panose1 w:val="020B0603030804020204"/>
  </w:font>
  <w:font w:name="agfa rotis sans serif light">
    <w:panose1 w:val="020B0603030804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 w:val="22"/>
              <w:szCs w:val="28"/>
            </w:rPr>
          </w:pPr>
          <w:r>
            <w:rPr>
              <w:rFonts w:ascii="Open Sans" w:hAnsi="Open Sans" w:cs="Open Sans"/>
              <w:sz w:val="22"/>
            </w:rPr>
            <w:fldChar w:fldCharType="begin"/>
          </w:r>
          <w:r>
            <w:rPr>
              <w:rFonts w:ascii="Open Sans" w:hAnsi="Open Sans" w:cs="Open Sans"/>
              <w:sz w:val="22"/>
            </w:rPr>
            <w:instrText xml:space="preserve">PAGE    \* MERGEFORMAT</w:instrText>
          </w:r>
          <w:r>
            <w:rPr>
              <w:rFonts w:ascii="Open Sans" w:hAnsi="Open Sans" w:cs="Open Sans"/>
              <w:sz w:val="22"/>
            </w:rPr>
            <w:fldChar w:fldCharType="separate"/>
          </w:r>
          <w:r>
            <w:rPr>
              <w:rFonts w:ascii="Open Sans" w:hAnsi="Open Sans" w:cs="Open Sans"/>
              <w:sz w:val="22"/>
            </w:rPr>
            <w:t xml:space="preserve">1</w:t>
          </w:r>
          <w:r>
            <w:rPr>
              <w:rFonts w:ascii="Open Sans" w:hAnsi="Open Sans" w:cs="Open Sans"/>
              <w:sz w:val="22"/>
            </w:rPr>
            <w:fldChar w:fldCharType="end"/>
          </w:r>
          <w:r/>
        </w:p>
      </w:tc>
    </w:tr>
  </w:tbl>
  <w:p>
    <w:pPr>
      <w:pStyle w:val="75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0"/>
      <w:rPr>
        <w:rFonts w:cs="Open Sans" w:asciiTheme="minorHAnsi" w:hAnsiTheme="minorHAnsi"/>
        <w:sz w:val="22"/>
        <w:szCs w:val="22"/>
      </w:rPr>
    </w:pPr>
    <w:r>
      <w:rPr>
        <w:rFonts w:cs="Open Sans" w:asciiTheme="minorHAnsi" w:hAnsiTheme="minorHAnsi"/>
        <w:sz w:val="22"/>
        <w:szCs w:val="22"/>
      </w:rPr>
      <w:t xml:space="preserve">Handreichung „</w:t>
    </w:r>
    <w:r>
      <w:rPr>
        <w:rFonts w:cs="Open Sans" w:asciiTheme="minorHAnsi" w:hAnsiTheme="minorHAnsi"/>
        <w:sz w:val="22"/>
        <w:szCs w:val="22"/>
      </w:rPr>
      <w:t xml:space="preserve">Sprachbildung im Fach</w:t>
    </w:r>
    <w:r>
      <w:rPr>
        <w:rFonts w:cs="Open Sans" w:asciiTheme="minorHAnsi" w:hAnsiTheme="minorHAnsi"/>
        <w:sz w:val="22"/>
        <w:szCs w:val="22"/>
      </w:rPr>
      <w:t xml:space="preserve">“</w:t>
    </w:r>
    <w:r/>
  </w:p>
  <w:p>
    <w:pPr>
      <w:pStyle w:val="750"/>
      <w:rPr>
        <w:rFonts w:cs="Open Sans" w:asciiTheme="minorHAnsi" w:hAnsiTheme="minorHAnsi"/>
        <w:sz w:val="22"/>
        <w:szCs w:val="22"/>
      </w:rPr>
    </w:pPr>
    <w:r>
      <w:rPr>
        <w:rFonts w:cs="Open Sans" w:asciiTheme="minorHAnsi" w:hAnsiTheme="minorHAnsi"/>
        <w:sz w:val="22"/>
        <w:szCs w:val="22"/>
      </w:rPr>
      <w:t xml:space="preserve">Material zu Fortbildungsbaustein </w:t>
    </w:r>
    <w:r>
      <w:rPr>
        <w:rFonts w:cs="Open Sans" w:asciiTheme="minorHAnsi" w:hAnsiTheme="minorHAnsi"/>
        <w:sz w:val="22"/>
        <w:szCs w:val="22"/>
      </w:rPr>
      <w:t xml:space="preserve">1</w:t>
    </w:r>
    <w:r>
      <w:rPr>
        <w:rFonts w:cs="Open Sans" w:asciiTheme="minorHAnsi" w:hAnsiTheme="minorHAnsi"/>
        <w:sz w:val="22"/>
        <w:szCs w:val="22"/>
      </w:rPr>
      <w:t xml:space="preserve">:</w:t>
    </w:r>
    <w:r/>
  </w:p>
  <w:p>
    <w:pPr>
      <w:pStyle w:val="750"/>
      <w:rPr>
        <w:rFonts w:cs="Open Sans" w:asciiTheme="minorHAnsi" w:hAnsiTheme="minorHAnsi"/>
        <w:sz w:val="22"/>
        <w:szCs w:val="22"/>
      </w:rPr>
    </w:pPr>
    <w:r>
      <w:rPr>
        <w:rFonts w:cs="Open Sans" w:asciiTheme="minorHAnsi" w:hAnsiTheme="minorHAnsi"/>
        <w:sz w:val="22"/>
        <w:szCs w:val="22"/>
      </w:rPr>
      <w:t xml:space="preserve">„</w:t>
    </w:r>
    <w:r>
      <w:rPr>
        <w:rFonts w:cs="Open Sans" w:asciiTheme="minorHAnsi" w:hAnsiTheme="minorHAnsi"/>
        <w:sz w:val="22"/>
        <w:szCs w:val="22"/>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asciiTheme="minorHAnsi" w:hAnsiTheme="minorHAnsi"/>
        <w:sz w:val="22"/>
        <w:szCs w:val="22"/>
      </w:rPr>
      <w:t xml:space="preserve">Herkunft, Sprache und Bildungschancen</w:t>
    </w:r>
    <w:r>
      <w:rPr>
        <w:rFonts w:cs="Open Sans" w:asciiTheme="minorHAnsi" w:hAnsiTheme="minorHAnsi"/>
        <w:sz w:val="22"/>
        <w:szCs w:val="22"/>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0"/>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746"/>
    <w:next w:val="746"/>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747"/>
    <w:link w:val="11"/>
    <w:uiPriority w:val="9"/>
    <w:rPr>
      <w:rFonts w:ascii="Arial" w:hAnsi="Arial" w:cs="Arial" w:eastAsia="Arial"/>
      <w:sz w:val="40"/>
      <w:szCs w:val="40"/>
    </w:rPr>
  </w:style>
  <w:style w:type="paragraph" w:styleId="13">
    <w:name w:val="Heading 2"/>
    <w:basedOn w:val="746"/>
    <w:next w:val="746"/>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747"/>
    <w:link w:val="13"/>
    <w:uiPriority w:val="9"/>
    <w:rPr>
      <w:rFonts w:ascii="Arial" w:hAnsi="Arial" w:cs="Arial" w:eastAsia="Arial"/>
      <w:sz w:val="34"/>
    </w:rPr>
  </w:style>
  <w:style w:type="paragraph" w:styleId="15">
    <w:name w:val="Heading 3"/>
    <w:basedOn w:val="746"/>
    <w:next w:val="746"/>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747"/>
    <w:link w:val="15"/>
    <w:uiPriority w:val="9"/>
    <w:rPr>
      <w:rFonts w:ascii="Arial" w:hAnsi="Arial" w:cs="Arial" w:eastAsia="Arial"/>
      <w:sz w:val="30"/>
      <w:szCs w:val="30"/>
    </w:rPr>
  </w:style>
  <w:style w:type="paragraph" w:styleId="17">
    <w:name w:val="Heading 4"/>
    <w:basedOn w:val="746"/>
    <w:next w:val="746"/>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747"/>
    <w:link w:val="17"/>
    <w:uiPriority w:val="9"/>
    <w:rPr>
      <w:rFonts w:ascii="Arial" w:hAnsi="Arial" w:cs="Arial" w:eastAsia="Arial"/>
      <w:b/>
      <w:bCs/>
      <w:sz w:val="26"/>
      <w:szCs w:val="26"/>
    </w:rPr>
  </w:style>
  <w:style w:type="paragraph" w:styleId="19">
    <w:name w:val="Heading 5"/>
    <w:basedOn w:val="746"/>
    <w:next w:val="746"/>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747"/>
    <w:link w:val="19"/>
    <w:uiPriority w:val="9"/>
    <w:rPr>
      <w:rFonts w:ascii="Arial" w:hAnsi="Arial" w:cs="Arial" w:eastAsia="Arial"/>
      <w:b/>
      <w:bCs/>
      <w:sz w:val="24"/>
      <w:szCs w:val="24"/>
    </w:rPr>
  </w:style>
  <w:style w:type="paragraph" w:styleId="21">
    <w:name w:val="Heading 6"/>
    <w:basedOn w:val="746"/>
    <w:next w:val="746"/>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747"/>
    <w:link w:val="21"/>
    <w:uiPriority w:val="9"/>
    <w:rPr>
      <w:rFonts w:ascii="Arial" w:hAnsi="Arial" w:cs="Arial" w:eastAsia="Arial"/>
      <w:b/>
      <w:bCs/>
      <w:sz w:val="22"/>
      <w:szCs w:val="22"/>
    </w:rPr>
  </w:style>
  <w:style w:type="paragraph" w:styleId="23">
    <w:name w:val="Heading 7"/>
    <w:basedOn w:val="746"/>
    <w:next w:val="746"/>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47"/>
    <w:link w:val="23"/>
    <w:uiPriority w:val="9"/>
    <w:rPr>
      <w:rFonts w:ascii="Arial" w:hAnsi="Arial" w:cs="Arial" w:eastAsia="Arial"/>
      <w:b/>
      <w:bCs/>
      <w:i/>
      <w:iCs/>
      <w:sz w:val="22"/>
      <w:szCs w:val="22"/>
    </w:rPr>
  </w:style>
  <w:style w:type="paragraph" w:styleId="25">
    <w:name w:val="Heading 8"/>
    <w:basedOn w:val="746"/>
    <w:next w:val="746"/>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47"/>
    <w:link w:val="25"/>
    <w:uiPriority w:val="9"/>
    <w:rPr>
      <w:rFonts w:ascii="Arial" w:hAnsi="Arial" w:cs="Arial" w:eastAsia="Arial"/>
      <w:i/>
      <w:iCs/>
      <w:sz w:val="22"/>
      <w:szCs w:val="22"/>
    </w:rPr>
  </w:style>
  <w:style w:type="paragraph" w:styleId="27">
    <w:name w:val="Heading 9"/>
    <w:basedOn w:val="746"/>
    <w:next w:val="746"/>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47"/>
    <w:link w:val="27"/>
    <w:uiPriority w:val="9"/>
    <w:rPr>
      <w:rFonts w:ascii="Arial" w:hAnsi="Arial" w:cs="Arial" w:eastAsia="Arial"/>
      <w:i/>
      <w:iCs/>
      <w:sz w:val="21"/>
      <w:szCs w:val="21"/>
    </w:rPr>
  </w:style>
  <w:style w:type="paragraph" w:styleId="29">
    <w:name w:val="List Paragraph"/>
    <w:basedOn w:val="746"/>
    <w:uiPriority w:val="34"/>
    <w:qFormat/>
    <w:pPr>
      <w:contextualSpacing/>
      <w:ind w:left="720"/>
    </w:pPr>
  </w:style>
  <w:style w:type="paragraph" w:styleId="31">
    <w:name w:val="No Spacing"/>
    <w:uiPriority w:val="1"/>
    <w:qFormat/>
    <w:pPr>
      <w:spacing w:before="0" w:after="0" w:line="240" w:lineRule="auto"/>
    </w:pPr>
  </w:style>
  <w:style w:type="paragraph" w:styleId="32">
    <w:name w:val="Title"/>
    <w:basedOn w:val="746"/>
    <w:next w:val="746"/>
    <w:link w:val="33"/>
    <w:uiPriority w:val="10"/>
    <w:qFormat/>
    <w:pPr>
      <w:contextualSpacing/>
      <w:spacing w:before="300" w:after="200"/>
    </w:pPr>
    <w:rPr>
      <w:sz w:val="48"/>
      <w:szCs w:val="48"/>
    </w:rPr>
  </w:style>
  <w:style w:type="character" w:styleId="33">
    <w:name w:val="Title Char"/>
    <w:basedOn w:val="747"/>
    <w:link w:val="32"/>
    <w:uiPriority w:val="10"/>
    <w:rPr>
      <w:sz w:val="48"/>
      <w:szCs w:val="48"/>
    </w:rPr>
  </w:style>
  <w:style w:type="paragraph" w:styleId="34">
    <w:name w:val="Subtitle"/>
    <w:basedOn w:val="746"/>
    <w:next w:val="746"/>
    <w:link w:val="35"/>
    <w:uiPriority w:val="11"/>
    <w:qFormat/>
    <w:pPr>
      <w:spacing w:before="200" w:after="200"/>
    </w:pPr>
    <w:rPr>
      <w:sz w:val="24"/>
      <w:szCs w:val="24"/>
    </w:rPr>
  </w:style>
  <w:style w:type="character" w:styleId="35">
    <w:name w:val="Subtitle Char"/>
    <w:basedOn w:val="747"/>
    <w:link w:val="34"/>
    <w:uiPriority w:val="11"/>
    <w:rPr>
      <w:sz w:val="24"/>
      <w:szCs w:val="24"/>
    </w:rPr>
  </w:style>
  <w:style w:type="paragraph" w:styleId="36">
    <w:name w:val="Quote"/>
    <w:basedOn w:val="746"/>
    <w:next w:val="746"/>
    <w:link w:val="37"/>
    <w:uiPriority w:val="29"/>
    <w:qFormat/>
    <w:pPr>
      <w:ind w:left="720" w:right="720"/>
    </w:pPr>
    <w:rPr>
      <w:i/>
    </w:rPr>
  </w:style>
  <w:style w:type="character" w:styleId="37">
    <w:name w:val="Quote Char"/>
    <w:link w:val="36"/>
    <w:uiPriority w:val="29"/>
    <w:rPr>
      <w:i/>
    </w:rPr>
  </w:style>
  <w:style w:type="paragraph" w:styleId="38">
    <w:name w:val="Intense Quote"/>
    <w:basedOn w:val="746"/>
    <w:next w:val="746"/>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47"/>
    <w:link w:val="750"/>
    <w:uiPriority w:val="99"/>
  </w:style>
  <w:style w:type="character" w:styleId="43">
    <w:name w:val="Footer Char"/>
    <w:basedOn w:val="747"/>
    <w:link w:val="752"/>
    <w:uiPriority w:val="99"/>
  </w:style>
  <w:style w:type="paragraph" w:styleId="44">
    <w:name w:val="Caption"/>
    <w:basedOn w:val="746"/>
    <w:next w:val="746"/>
    <w:uiPriority w:val="35"/>
    <w:semiHidden/>
    <w:unhideWhenUsed/>
    <w:qFormat/>
    <w:pPr>
      <w:spacing w:line="276" w:lineRule="auto"/>
    </w:pPr>
    <w:rPr>
      <w:b/>
      <w:bCs/>
      <w:color w:val="4F81BD" w:themeColor="accent1"/>
      <w:sz w:val="18"/>
      <w:szCs w:val="18"/>
    </w:rPr>
  </w:style>
  <w:style w:type="character" w:styleId="45">
    <w:name w:val="Caption Char"/>
    <w:basedOn w:val="44"/>
    <w:link w:val="752"/>
    <w:uiPriority w:val="99"/>
  </w:style>
  <w:style w:type="table" w:styleId="46">
    <w:name w:val="Table Grid"/>
    <w:basedOn w:val="7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7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7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7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7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7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7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7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7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7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7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7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746"/>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747"/>
    <w:uiPriority w:val="99"/>
    <w:unhideWhenUsed/>
    <w:rPr>
      <w:vertAlign w:val="superscript"/>
    </w:rPr>
  </w:style>
  <w:style w:type="paragraph" w:styleId="176">
    <w:name w:val="endnote text"/>
    <w:basedOn w:val="746"/>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47"/>
    <w:uiPriority w:val="99"/>
    <w:semiHidden/>
    <w:unhideWhenUsed/>
    <w:rPr>
      <w:vertAlign w:val="superscript"/>
    </w:rPr>
  </w:style>
  <w:style w:type="paragraph" w:styleId="179">
    <w:name w:val="toc 1"/>
    <w:basedOn w:val="746"/>
    <w:next w:val="746"/>
    <w:uiPriority w:val="39"/>
    <w:unhideWhenUsed/>
    <w:pPr>
      <w:ind w:left="0" w:right="0" w:firstLine="0"/>
      <w:spacing w:after="57"/>
    </w:pPr>
  </w:style>
  <w:style w:type="paragraph" w:styleId="180">
    <w:name w:val="toc 2"/>
    <w:basedOn w:val="746"/>
    <w:next w:val="746"/>
    <w:uiPriority w:val="39"/>
    <w:unhideWhenUsed/>
    <w:pPr>
      <w:ind w:left="283" w:right="0" w:firstLine="0"/>
      <w:spacing w:after="57"/>
    </w:pPr>
  </w:style>
  <w:style w:type="paragraph" w:styleId="181">
    <w:name w:val="toc 3"/>
    <w:basedOn w:val="746"/>
    <w:next w:val="746"/>
    <w:uiPriority w:val="39"/>
    <w:unhideWhenUsed/>
    <w:pPr>
      <w:ind w:left="567" w:right="0" w:firstLine="0"/>
      <w:spacing w:after="57"/>
    </w:pPr>
  </w:style>
  <w:style w:type="paragraph" w:styleId="182">
    <w:name w:val="toc 4"/>
    <w:basedOn w:val="746"/>
    <w:next w:val="746"/>
    <w:uiPriority w:val="39"/>
    <w:unhideWhenUsed/>
    <w:pPr>
      <w:ind w:left="850" w:right="0" w:firstLine="0"/>
      <w:spacing w:after="57"/>
    </w:pPr>
  </w:style>
  <w:style w:type="paragraph" w:styleId="183">
    <w:name w:val="toc 5"/>
    <w:basedOn w:val="746"/>
    <w:next w:val="746"/>
    <w:uiPriority w:val="39"/>
    <w:unhideWhenUsed/>
    <w:pPr>
      <w:ind w:left="1134" w:right="0" w:firstLine="0"/>
      <w:spacing w:after="57"/>
    </w:pPr>
  </w:style>
  <w:style w:type="paragraph" w:styleId="184">
    <w:name w:val="toc 6"/>
    <w:basedOn w:val="746"/>
    <w:next w:val="746"/>
    <w:uiPriority w:val="39"/>
    <w:unhideWhenUsed/>
    <w:pPr>
      <w:ind w:left="1417" w:right="0" w:firstLine="0"/>
      <w:spacing w:after="57"/>
    </w:pPr>
  </w:style>
  <w:style w:type="paragraph" w:styleId="185">
    <w:name w:val="toc 7"/>
    <w:basedOn w:val="746"/>
    <w:next w:val="746"/>
    <w:uiPriority w:val="39"/>
    <w:unhideWhenUsed/>
    <w:pPr>
      <w:ind w:left="1701" w:right="0" w:firstLine="0"/>
      <w:spacing w:after="57"/>
    </w:pPr>
  </w:style>
  <w:style w:type="paragraph" w:styleId="186">
    <w:name w:val="toc 8"/>
    <w:basedOn w:val="746"/>
    <w:next w:val="746"/>
    <w:uiPriority w:val="39"/>
    <w:unhideWhenUsed/>
    <w:pPr>
      <w:ind w:left="1984" w:right="0" w:firstLine="0"/>
      <w:spacing w:after="57"/>
    </w:pPr>
  </w:style>
  <w:style w:type="paragraph" w:styleId="187">
    <w:name w:val="toc 9"/>
    <w:basedOn w:val="746"/>
    <w:next w:val="746"/>
    <w:uiPriority w:val="39"/>
    <w:unhideWhenUsed/>
    <w:pPr>
      <w:ind w:left="2268" w:right="0" w:firstLine="0"/>
      <w:spacing w:after="57"/>
    </w:pPr>
  </w:style>
  <w:style w:type="paragraph" w:styleId="188">
    <w:name w:val="TOC Heading"/>
    <w:uiPriority w:val="39"/>
    <w:unhideWhenUsed/>
  </w:style>
  <w:style w:type="paragraph" w:styleId="189">
    <w:name w:val="table of figures"/>
    <w:basedOn w:val="746"/>
    <w:next w:val="746"/>
    <w:uiPriority w:val="99"/>
    <w:unhideWhenUsed/>
    <w:pPr>
      <w:spacing w:after="0" w:afterAutospacing="0"/>
    </w:pPr>
  </w:style>
  <w:style w:type="paragraph" w:styleId="746" w:default="1">
    <w:name w:val="Normal"/>
    <w:qFormat/>
    <w:rPr>
      <w:rFonts w:ascii="Rotis Sans Serif Std Light" w:hAnsi="Rotis Sans Serif Std Light"/>
    </w:rPr>
  </w:style>
  <w:style w:type="character" w:styleId="747" w:default="1">
    <w:name w:val="Default Paragraph Font"/>
    <w:uiPriority w:val="1"/>
    <w:semiHidden/>
    <w:unhideWhenUsed/>
  </w:style>
  <w:style w:type="table" w:styleId="748" w:default="1">
    <w:name w:val="Normal Table"/>
    <w:uiPriority w:val="99"/>
    <w:semiHidden/>
    <w:unhideWhenUsed/>
    <w:tblPr>
      <w:tblInd w:w="0" w:type="dxa"/>
      <w:tblCellMar>
        <w:left w:w="108" w:type="dxa"/>
        <w:top w:w="0" w:type="dxa"/>
        <w:right w:w="108" w:type="dxa"/>
        <w:bottom w:w="0" w:type="dxa"/>
      </w:tblCellMar>
    </w:tblPr>
  </w:style>
  <w:style w:type="numbering" w:styleId="749" w:default="1">
    <w:name w:val="No List"/>
    <w:uiPriority w:val="99"/>
    <w:semiHidden/>
    <w:unhideWhenUsed/>
  </w:style>
  <w:style w:type="paragraph" w:styleId="750">
    <w:name w:val="Header"/>
    <w:basedOn w:val="746"/>
    <w:link w:val="751"/>
    <w:uiPriority w:val="99"/>
    <w:unhideWhenUsed/>
    <w:pPr>
      <w:tabs>
        <w:tab w:val="center" w:pos="4536" w:leader="none"/>
        <w:tab w:val="right" w:pos="9072" w:leader="none"/>
      </w:tabs>
    </w:pPr>
  </w:style>
  <w:style w:type="character" w:styleId="751" w:customStyle="1">
    <w:name w:val="Kopfzeile Zchn"/>
    <w:basedOn w:val="747"/>
    <w:link w:val="750"/>
    <w:uiPriority w:val="99"/>
    <w:rPr>
      <w:rFonts w:ascii="Rotis Sans Serif Std Light" w:hAnsi="Rotis Sans Serif Std Light"/>
    </w:rPr>
  </w:style>
  <w:style w:type="paragraph" w:styleId="752">
    <w:name w:val="Footer"/>
    <w:basedOn w:val="746"/>
    <w:link w:val="753"/>
    <w:uiPriority w:val="99"/>
    <w:unhideWhenUsed/>
    <w:pPr>
      <w:tabs>
        <w:tab w:val="center" w:pos="4536" w:leader="none"/>
        <w:tab w:val="right" w:pos="9072" w:leader="none"/>
      </w:tabs>
    </w:pPr>
  </w:style>
  <w:style w:type="character" w:styleId="753" w:customStyle="1">
    <w:name w:val="Fußzeile Zchn"/>
    <w:basedOn w:val="747"/>
    <w:link w:val="752"/>
    <w:uiPriority w:val="99"/>
    <w:rPr>
      <w:rFonts w:ascii="Rotis Sans Serif Std Light" w:hAnsi="Rotis Sans Serif Std Ligh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2.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Jäger</dc:creator>
  <cp:keywords/>
  <dc:description/>
  <cp:lastModifiedBy>Patrick Lüer</cp:lastModifiedBy>
  <cp:revision>3</cp:revision>
  <dcterms:created xsi:type="dcterms:W3CDTF">2020-08-25T08:48:00Z</dcterms:created>
  <dcterms:modified xsi:type="dcterms:W3CDTF">2022-03-01T13:27:05Z</dcterms:modified>
</cp:coreProperties>
</file>